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720" w:firstLineChars="200"/>
        <w:jc w:val="center"/>
        <w:textAlignment w:val="auto"/>
        <w:rPr>
          <w:rFonts w:hint="default" w:ascii="Times New Roman" w:hAnsi="Times New Roman" w:eastAsia="方正小标宋_GBK" w:cs="Times New Roman"/>
          <w:b w:val="0"/>
          <w:bCs w:val="0"/>
          <w:color w:val="000000" w:themeColor="text1"/>
          <w:sz w:val="36"/>
          <w:szCs w:val="36"/>
          <w:lang w:val="en-US" w:eastAsia="zh-CN"/>
          <w14:textFill>
            <w14:solidFill>
              <w14:schemeClr w14:val="tx1"/>
            </w14:solidFill>
          </w14:textFill>
        </w:rPr>
      </w:pPr>
    </w:p>
    <w:p>
      <w:pPr>
        <w:pStyle w:val="5"/>
        <w:spacing w:before="0" w:beforeAutospacing="0" w:after="0" w:afterAutospacing="0" w:line="596" w:lineRule="exact"/>
        <w:jc w:val="center"/>
        <w:rPr>
          <w:rFonts w:hint="default" w:ascii="Times New Roman" w:hAnsi="Times New Roman" w:eastAsia="方正小标宋_GBK" w:cs="Times New Roman"/>
          <w:b w:val="0"/>
          <w:bCs w:val="0"/>
          <w:color w:val="000000" w:themeColor="text1"/>
          <w:sz w:val="44"/>
          <w:szCs w:val="44"/>
          <w14:textFill>
            <w14:solidFill>
              <w14:schemeClr w14:val="tx1"/>
            </w14:solidFill>
          </w14:textFill>
        </w:rPr>
      </w:pPr>
      <w:r>
        <w:rPr>
          <w:rFonts w:hint="default" w:ascii="Times New Roman" w:hAnsi="Times New Roman" w:eastAsia="方正小标宋_GBK" w:cs="Times New Roman"/>
          <w:b w:val="0"/>
          <w:bCs w:val="0"/>
          <w:color w:val="000000" w:themeColor="text1"/>
          <w:sz w:val="44"/>
          <w:szCs w:val="44"/>
          <w14:textFill>
            <w14:solidFill>
              <w14:schemeClr w14:val="tx1"/>
            </w14:solidFill>
          </w14:textFill>
        </w:rPr>
        <w:t>巫溪县土城镇人民政府</w:t>
      </w:r>
    </w:p>
    <w:p>
      <w:pPr>
        <w:pStyle w:val="5"/>
        <w:spacing w:before="0" w:beforeAutospacing="0" w:after="0" w:afterAutospacing="0" w:line="596" w:lineRule="exact"/>
        <w:jc w:val="center"/>
        <w:rPr>
          <w:rFonts w:hint="default" w:ascii="Times New Roman" w:hAnsi="Times New Roman" w:eastAsia="方正小标宋_GBK" w:cs="Times New Roman"/>
          <w:b w:val="0"/>
          <w:bCs w:val="0"/>
          <w:color w:val="000000" w:themeColor="text1"/>
          <w:sz w:val="44"/>
          <w:szCs w:val="44"/>
          <w:shd w:val="clear" w:color="auto" w:fill="FFFFFF"/>
          <w14:textFill>
            <w14:solidFill>
              <w14:schemeClr w14:val="tx1"/>
            </w14:solidFill>
          </w14:textFill>
        </w:rPr>
      </w:pPr>
      <w:r>
        <w:rPr>
          <w:rFonts w:hint="default" w:ascii="Times New Roman" w:hAnsi="Times New Roman" w:eastAsia="方正小标宋_GBK" w:cs="Times New Roman"/>
          <w:b w:val="0"/>
          <w:bCs w:val="0"/>
          <w:color w:val="000000" w:themeColor="text1"/>
          <w:sz w:val="44"/>
          <w:szCs w:val="44"/>
          <w:shd w:val="clear" w:color="auto" w:fill="FFFFFF"/>
          <w14:textFill>
            <w14:solidFill>
              <w14:schemeClr w14:val="tx1"/>
            </w14:solidFill>
          </w14:textFill>
        </w:rPr>
        <w:t>2024年度决算公开说明</w:t>
      </w:r>
    </w:p>
    <w:p>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jc w:val="center"/>
        <w:textAlignment w:val="auto"/>
        <w:rPr>
          <w:rFonts w:hint="default" w:ascii="Times New Roman" w:hAnsi="Times New Roman" w:eastAsia="方正小标宋_GBK" w:cs="Times New Roman"/>
          <w:color w:val="000000" w:themeColor="text1"/>
          <w:sz w:val="36"/>
          <w:szCs w:val="36"/>
          <w:shd w:val="clear" w:color="auto" w:fill="FFFFFF"/>
          <w14:textFill>
            <w14:solidFill>
              <w14:schemeClr w14:val="tx1"/>
            </w14:solidFill>
          </w14:textFill>
        </w:rPr>
      </w:pP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2" w:firstLineChars="200"/>
        <w:textAlignment w:val="auto"/>
        <w:rPr>
          <w:rStyle w:val="8"/>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Style w:val="8"/>
          <w:rFonts w:hint="default" w:ascii="Times New Roman" w:hAnsi="Times New Roman" w:eastAsia="黑体" w:cs="Times New Roman"/>
          <w:color w:val="000000" w:themeColor="text1"/>
          <w:sz w:val="32"/>
          <w:szCs w:val="32"/>
          <w:shd w:val="clear" w:color="auto" w:fill="FFFFFF"/>
          <w14:textFill>
            <w14:solidFill>
              <w14:schemeClr w14:val="tx1"/>
            </w14:solidFill>
          </w14:textFill>
        </w:rPr>
        <w:t>一、</w:t>
      </w:r>
      <w:r>
        <w:rPr>
          <w:rStyle w:val="8"/>
          <w:rFonts w:hint="default" w:ascii="Times New Roman" w:hAnsi="Times New Roman" w:eastAsia="黑体" w:cs="Times New Roman"/>
          <w:color w:val="000000" w:themeColor="text1"/>
          <w:sz w:val="32"/>
          <w:szCs w:val="32"/>
          <w:shd w:val="clear" w:color="auto" w:fill="FFFFFF"/>
          <w:lang w:eastAsia="zh-CN"/>
          <w14:textFill>
            <w14:solidFill>
              <w14:schemeClr w14:val="tx1"/>
            </w14:solidFill>
          </w14:textFill>
        </w:rPr>
        <w:t>部门</w:t>
      </w:r>
      <w:r>
        <w:rPr>
          <w:rStyle w:val="8"/>
          <w:rFonts w:hint="default" w:ascii="Times New Roman" w:hAnsi="Times New Roman" w:eastAsia="黑体" w:cs="Times New Roman"/>
          <w:color w:val="000000" w:themeColor="text1"/>
          <w:sz w:val="32"/>
          <w:szCs w:val="32"/>
          <w:shd w:val="clear" w:color="auto" w:fill="FFFFFF"/>
          <w14:textFill>
            <w14:solidFill>
              <w14:schemeClr w14:val="tx1"/>
            </w14:solidFill>
          </w14:textFill>
        </w:rPr>
        <w:t>基本情况</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pPr>
      <w:r>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t>（一）职能职责</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b/>
          <w:bCs/>
          <w:color w:val="000000" w:themeColor="text1"/>
          <w:sz w:val="32"/>
          <w:szCs w:val="32"/>
          <w:shd w:val="clear" w:color="auto" w:fill="FFFFFF"/>
          <w14:textFill>
            <w14:solidFill>
              <w14:schemeClr w14:val="tx1"/>
            </w14:solidFill>
          </w14:textFill>
        </w:rPr>
      </w:pPr>
      <w:r>
        <w:rPr>
          <w:rFonts w:hint="default" w:ascii="Times New Roman" w:hAnsi="Times New Roman" w:eastAsia="方正仿宋_GBK" w:cs="Times New Roman"/>
          <w:b/>
          <w:bCs/>
          <w:color w:val="000000" w:themeColor="text1"/>
          <w:sz w:val="32"/>
          <w:szCs w:val="32"/>
          <w:shd w:val="clear" w:color="auto" w:fill="FFFFFF"/>
          <w:lang w:val="en-US" w:eastAsia="zh-CN"/>
          <w14:textFill>
            <w14:solidFill>
              <w14:schemeClr w14:val="tx1"/>
            </w14:solidFill>
          </w14:textFill>
        </w:rPr>
        <w:t>1.</w:t>
      </w:r>
      <w:r>
        <w:rPr>
          <w:rFonts w:hint="default" w:ascii="Times New Roman" w:hAnsi="Times New Roman" w:eastAsia="方正仿宋_GBK" w:cs="Times New Roman"/>
          <w:b/>
          <w:bCs/>
          <w:color w:val="000000" w:themeColor="text1"/>
          <w:sz w:val="32"/>
          <w:szCs w:val="32"/>
          <w:shd w:val="clear" w:color="auto" w:fill="FFFFFF"/>
          <w14:textFill>
            <w14:solidFill>
              <w14:schemeClr w14:val="tx1"/>
            </w14:solidFill>
          </w14:textFill>
        </w:rPr>
        <w:t>政府职能</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1）制定和组织实施经济、科技和社会发展计划，制定资源开发技术改造和产业结构调整方案，组织指导好各业生产，搞好商品流通，协调好本乡镇与外地区的经济交流与合作，抓好招商引资，人才引进项目开发，不断培育市场体系，组织经济运行，促进经济发展。</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（2）制定并组织实施村镇建设规划，部署重点工程建设，地方道路建设及公共设施，水利设施的管理，负责土地、林木、水等自然资源和生态环境的保护，做好护林防火工作。</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3）负责本行政区域内的民政、计划生育、文化教育、卫生、体育等社会公益事业的综合性工作，维护一切经济单位和个人的正当经济权益，取缔非法经济活动，调解和处理民事纠纷，打击刑事犯罪维护社会稳定。</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4</w:t>
      </w: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按计划组织本级财政收入和地方税的征收，完成国家财政计划，不断培植税源，管好财政资金，增强财政实力。</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5</w:t>
      </w: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 xml:space="preserve">抓好精神文明建设，丰富群众文化生活，提倡移风易俗，反对封建迷信，破除陈规陋习，树立社会主义新风尚。     </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6</w:t>
      </w: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 xml:space="preserve">完成上级政府交办的其它事项。 </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b/>
          <w:bCs/>
          <w:color w:val="000000" w:themeColor="text1"/>
          <w:sz w:val="32"/>
          <w:szCs w:val="32"/>
          <w:shd w:val="clear" w:color="auto" w:fill="FFFFFF"/>
          <w14:textFill>
            <w14:solidFill>
              <w14:schemeClr w14:val="tx1"/>
            </w14:solidFill>
          </w14:textFill>
        </w:rPr>
      </w:pPr>
      <w:r>
        <w:rPr>
          <w:rFonts w:hint="default" w:ascii="Times New Roman" w:hAnsi="Times New Roman" w:eastAsia="方正仿宋_GBK" w:cs="Times New Roman"/>
          <w:b/>
          <w:bCs/>
          <w:color w:val="000000" w:themeColor="text1"/>
          <w:sz w:val="32"/>
          <w:szCs w:val="32"/>
          <w:shd w:val="clear" w:color="auto" w:fill="FFFFFF"/>
          <w:lang w:val="en-US" w:eastAsia="zh-CN"/>
          <w14:textFill>
            <w14:solidFill>
              <w14:schemeClr w14:val="tx1"/>
            </w14:solidFill>
          </w14:textFill>
        </w:rPr>
        <w:t>2.</w:t>
      </w:r>
      <w:r>
        <w:rPr>
          <w:rFonts w:hint="default" w:ascii="Times New Roman" w:hAnsi="Times New Roman" w:eastAsia="方正仿宋_GBK" w:cs="Times New Roman"/>
          <w:b/>
          <w:bCs/>
          <w:color w:val="000000" w:themeColor="text1"/>
          <w:sz w:val="32"/>
          <w:szCs w:val="32"/>
          <w:shd w:val="clear" w:color="auto" w:fill="FFFFFF"/>
          <w14:textFill>
            <w14:solidFill>
              <w14:schemeClr w14:val="tx1"/>
            </w14:solidFill>
          </w14:textFill>
        </w:rPr>
        <w:t>政府职责</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1</w:t>
      </w: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执行本级人民代表大会的决议和上级国家行政机关的决定和命令，发布决定和命令；</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2</w:t>
      </w: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执行本行政区域内的经济和社会发展计划、预算，管理本行政区域内的经济、教育、科学、文化、卫生、体育事业和财政、民政、公安、司法行政、计划生育等行政工作;</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3</w:t>
      </w: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保护社会主义的全民所有的财产和劳动群众集体所有财产，保护公民私有的合法财产，维护社会秩序，保障公民的人身权利、民主权利和其他权利;</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4</w:t>
      </w: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保障农村集体经济组织应有的自主权;</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5</w:t>
      </w: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保障少数民族的权利和尊重少数民族的风俗习惯；</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6</w:t>
      </w: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保障宪法和法律赋予妇女的男女平等、同工同酬和婚姻自由等各项权利;</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7</w:t>
      </w: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办理上级人民政府交办的其它事项</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pPr>
      <w:r>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t>（二）机构设置</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0" w:firstLineChars="200"/>
        <w:textAlignment w:val="auto"/>
        <w:rPr>
          <w:rFonts w:hint="eastAsia" w:ascii="方正仿宋_GBK" w:hAnsi="方正仿宋_GBK" w:eastAsia="方正仿宋_GBK" w:cs="方正仿宋_GBK"/>
          <w:color w:val="auto"/>
          <w:sz w:val="32"/>
          <w:szCs w:val="32"/>
          <w:shd w:val="clear" w:color="auto" w:fill="FFFFFF"/>
          <w:lang w:val="en-US" w:eastAsia="zh-CN"/>
        </w:rPr>
      </w:pPr>
      <w:r>
        <w:rPr>
          <w:rFonts w:hint="eastAsia" w:ascii="方正仿宋_GBK" w:hAnsi="方正仿宋_GBK" w:eastAsia="方正仿宋_GBK" w:cs="方正仿宋_GBK"/>
          <w:color w:val="auto"/>
          <w:sz w:val="32"/>
          <w:szCs w:val="32"/>
          <w:shd w:val="clear" w:color="auto" w:fill="FFFFFF"/>
        </w:rPr>
        <w:t>巫溪县土城镇人民政府</w:t>
      </w:r>
      <w:r>
        <w:rPr>
          <w:rFonts w:hint="eastAsia" w:ascii="方正仿宋_GBK" w:hAnsi="方正仿宋_GBK" w:eastAsia="方正仿宋_GBK" w:cs="方正仿宋_GBK"/>
          <w:color w:val="auto"/>
          <w:sz w:val="32"/>
          <w:szCs w:val="32"/>
          <w:shd w:val="clear" w:color="auto" w:fill="FFFFFF"/>
          <w:lang w:val="en-US" w:eastAsia="zh-CN"/>
        </w:rPr>
        <w:t>根据职能职责</w:t>
      </w:r>
      <w:r>
        <w:rPr>
          <w:rFonts w:hint="eastAsia" w:ascii="方正仿宋_GBK" w:hAnsi="方正仿宋_GBK" w:eastAsia="方正仿宋_GBK" w:cs="方正仿宋_GBK"/>
          <w:color w:val="auto"/>
          <w:sz w:val="32"/>
          <w:szCs w:val="32"/>
          <w:shd w:val="clear" w:color="auto" w:fill="FFFFFF"/>
        </w:rPr>
        <w:t>设置</w:t>
      </w:r>
      <w:r>
        <w:rPr>
          <w:rFonts w:hint="eastAsia" w:ascii="方正仿宋_GBK" w:hAnsi="方正仿宋_GBK" w:eastAsia="方正仿宋_GBK" w:cs="方正仿宋_GBK"/>
          <w:color w:val="auto"/>
          <w:sz w:val="32"/>
          <w:szCs w:val="32"/>
          <w:shd w:val="clear" w:color="auto" w:fill="FFFFFF"/>
          <w:lang w:val="en-US" w:eastAsia="zh-CN"/>
        </w:rPr>
        <w:t>基层治理综合指挥室、党的建设办公室、</w:t>
      </w:r>
      <w:r>
        <w:rPr>
          <w:rFonts w:hint="eastAsia" w:ascii="方正仿宋_GBK" w:hAnsi="方正仿宋_GBK" w:eastAsia="方正仿宋_GBK" w:cs="方正仿宋_GBK"/>
          <w:color w:val="auto"/>
          <w:sz w:val="32"/>
          <w:szCs w:val="32"/>
          <w:shd w:val="clear" w:color="auto" w:fill="FFFFFF"/>
        </w:rPr>
        <w:t>经济发展办公室、平安建设办公室、</w:t>
      </w:r>
      <w:r>
        <w:rPr>
          <w:rFonts w:hint="eastAsia" w:ascii="方正仿宋_GBK" w:hAnsi="方正仿宋_GBK" w:eastAsia="方正仿宋_GBK" w:cs="方正仿宋_GBK"/>
          <w:color w:val="auto"/>
          <w:sz w:val="32"/>
          <w:szCs w:val="32"/>
          <w:shd w:val="clear" w:color="auto" w:fill="FFFFFF"/>
          <w:lang w:val="en-US" w:eastAsia="zh-CN"/>
        </w:rPr>
        <w:t>民生服务办公室5个内设机构；同时下设便民服务中心（退役军人事务中心）、综合行政执法大队、产业发展服务中心、新时代文明实践服务中心、基层治理服务中心5个事业单位。</w:t>
      </w:r>
    </w:p>
    <w:p>
      <w:pPr>
        <w:pStyle w:val="5"/>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78" w:lineRule="exact"/>
        <w:ind w:firstLine="642" w:firstLineChars="200"/>
        <w:jc w:val="both"/>
        <w:textAlignment w:val="auto"/>
        <w:rPr>
          <w:rStyle w:val="8"/>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Style w:val="8"/>
          <w:rFonts w:hint="default" w:ascii="Times New Roman" w:hAnsi="Times New Roman" w:eastAsia="黑体" w:cs="Times New Roman"/>
          <w:color w:val="000000" w:themeColor="text1"/>
          <w:sz w:val="32"/>
          <w:szCs w:val="32"/>
          <w:shd w:val="clear" w:color="auto" w:fill="FFFFFF"/>
          <w:lang w:eastAsia="zh-CN"/>
          <w14:textFill>
            <w14:solidFill>
              <w14:schemeClr w14:val="tx1"/>
            </w14:solidFill>
          </w14:textFill>
        </w:rPr>
        <w:t>部门</w:t>
      </w:r>
      <w:r>
        <w:rPr>
          <w:rStyle w:val="8"/>
          <w:rFonts w:hint="default" w:ascii="Times New Roman" w:hAnsi="Times New Roman" w:eastAsia="黑体" w:cs="Times New Roman"/>
          <w:color w:val="000000" w:themeColor="text1"/>
          <w:sz w:val="32"/>
          <w:szCs w:val="32"/>
          <w:shd w:val="clear" w:color="auto" w:fill="FFFFFF"/>
          <w14:textFill>
            <w14:solidFill>
              <w14:schemeClr w14:val="tx1"/>
            </w14:solidFill>
          </w14:textFill>
        </w:rPr>
        <w:t>决算</w:t>
      </w:r>
      <w:r>
        <w:rPr>
          <w:rStyle w:val="8"/>
          <w:rFonts w:hint="default" w:ascii="Times New Roman" w:hAnsi="Times New Roman" w:eastAsia="黑体" w:cs="Times New Roman"/>
          <w:color w:val="000000" w:themeColor="text1"/>
          <w:sz w:val="32"/>
          <w:szCs w:val="32"/>
          <w:shd w:val="clear" w:color="auto" w:fill="FFFFFF"/>
          <w:lang w:eastAsia="zh-CN"/>
          <w14:textFill>
            <w14:solidFill>
              <w14:schemeClr w14:val="tx1"/>
            </w14:solidFill>
          </w14:textFill>
        </w:rPr>
        <w:t>收支</w:t>
      </w:r>
      <w:r>
        <w:rPr>
          <w:rStyle w:val="8"/>
          <w:rFonts w:hint="default" w:ascii="Times New Roman" w:hAnsi="Times New Roman" w:eastAsia="黑体" w:cs="Times New Roman"/>
          <w:color w:val="000000" w:themeColor="text1"/>
          <w:sz w:val="32"/>
          <w:szCs w:val="32"/>
          <w:shd w:val="clear" w:color="auto" w:fill="FFFFFF"/>
          <w14:textFill>
            <w14:solidFill>
              <w14:schemeClr w14:val="tx1"/>
            </w14:solidFill>
          </w14:textFill>
        </w:rPr>
        <w:t>情况说明</w:t>
      </w:r>
    </w:p>
    <w:p>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0" w:beforeAutospacing="0" w:after="0" w:afterAutospacing="0" w:line="578" w:lineRule="exact"/>
        <w:ind w:firstLine="642" w:firstLineChars="200"/>
        <w:jc w:val="both"/>
        <w:textAlignment w:val="auto"/>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pPr>
      <w:r>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t>（一）收入支出决算总体情况说明</w:t>
      </w:r>
    </w:p>
    <w:p>
      <w:pPr>
        <w:pStyle w:val="9"/>
        <w:keepNext w:val="0"/>
        <w:keepLines w:val="0"/>
        <w:pageBreakBefore w:val="0"/>
        <w:widowControl/>
        <w:kinsoku/>
        <w:wordWrap/>
        <w:overflowPunct/>
        <w:topLinePunct w:val="0"/>
        <w:autoSpaceDE w:val="0"/>
        <w:autoSpaceDN/>
        <w:bidi w:val="0"/>
        <w:adjustRightInd/>
        <w:spacing w:line="578" w:lineRule="exact"/>
        <w:ind w:firstLine="643"/>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Style w:val="8"/>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1.总体情况。</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2024年</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度收入总计3256.88万元，支出总计</w:t>
      </w:r>
      <w:r>
        <w:rPr>
          <w:rFonts w:hint="default" w:ascii="Times New Roman" w:hAnsi="Times New Roman" w:eastAsia="方正仿宋_GBK" w:cs="Times New Roman"/>
          <w:color w:val="000000" w:themeColor="text1"/>
          <w:sz w:val="32"/>
          <w:szCs w:val="32"/>
          <w14:textFill>
            <w14:solidFill>
              <w14:schemeClr w14:val="tx1"/>
            </w14:solidFill>
          </w14:textFill>
        </w:rPr>
        <w:t>3256.88</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万元。收、支与2023年度相比，增加592.93万元，增长22.3%，主要原因是</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我单位新设机构-巫溪县土城镇产业发展服务中心</w:t>
      </w:r>
      <w:r>
        <w:rPr>
          <w:rFonts w:hint="eastAsia"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，且</w:t>
      </w:r>
      <w:r>
        <w:rPr>
          <w:rFonts w:hint="default" w:ascii="Times New Roman" w:hAnsi="Times New Roman" w:eastAsia="方正仿宋_GBK" w:cs="Times New Roman"/>
          <w:color w:val="000000" w:themeColor="text1"/>
          <w:sz w:val="32"/>
          <w:szCs w:val="32"/>
          <w:highlight w:val="none"/>
          <w:shd w:val="clear" w:color="auto" w:fill="FFFFFF"/>
          <w14:textFill>
            <w14:solidFill>
              <w14:schemeClr w14:val="tx1"/>
            </w14:solidFill>
          </w14:textFill>
        </w:rPr>
        <w:t>政府</w:t>
      </w:r>
      <w:r>
        <w:rPr>
          <w:rFonts w:hint="eastAsia" w:ascii="Times New Roman" w:hAnsi="Times New Roman" w:eastAsia="方正仿宋_GBK" w:cs="Times New Roman"/>
          <w:color w:val="000000" w:themeColor="text1"/>
          <w:sz w:val="32"/>
          <w:szCs w:val="32"/>
          <w:highlight w:val="none"/>
          <w:shd w:val="clear" w:color="auto" w:fill="FFFFFF"/>
          <w:lang w:val="en-US" w:eastAsia="zh-CN"/>
          <w14:textFill>
            <w14:solidFill>
              <w14:schemeClr w14:val="tx1"/>
            </w14:solidFill>
          </w14:textFill>
        </w:rPr>
        <w:t>加大</w:t>
      </w:r>
      <w:r>
        <w:rPr>
          <w:rFonts w:hint="default" w:ascii="Times New Roman" w:hAnsi="Times New Roman" w:eastAsia="方正仿宋_GBK" w:cs="Times New Roman"/>
          <w:color w:val="000000" w:themeColor="text1"/>
          <w:sz w:val="32"/>
          <w:szCs w:val="32"/>
          <w:highlight w:val="none"/>
          <w:shd w:val="clear" w:color="auto" w:fill="FFFFFF"/>
          <w14:textFill>
            <w14:solidFill>
              <w14:schemeClr w14:val="tx1"/>
            </w14:solidFill>
          </w14:textFill>
        </w:rPr>
        <w:t>推进农业现代化</w:t>
      </w:r>
      <w:r>
        <w:rPr>
          <w:rFonts w:hint="eastAsia" w:ascii="Times New Roman" w:hAnsi="Times New Roman" w:eastAsia="方正仿宋_GBK" w:cs="Times New Roman"/>
          <w:color w:val="000000" w:themeColor="text1"/>
          <w:sz w:val="32"/>
          <w:szCs w:val="32"/>
          <w:highlight w:val="none"/>
          <w:shd w:val="clear" w:color="auto" w:fill="FFFFFF"/>
          <w:lang w:val="en-US" w:eastAsia="zh-CN"/>
          <w14:textFill>
            <w14:solidFill>
              <w14:schemeClr w14:val="tx1"/>
            </w14:solidFill>
          </w14:textFill>
        </w:rPr>
        <w:t>力度</w:t>
      </w:r>
      <w:r>
        <w:rPr>
          <w:rFonts w:hint="default" w:ascii="Times New Roman" w:hAnsi="Times New Roman" w:eastAsia="方正仿宋_GBK" w:cs="Times New Roman"/>
          <w:color w:val="000000" w:themeColor="text1"/>
          <w:sz w:val="32"/>
          <w:szCs w:val="32"/>
          <w:highlight w:val="none"/>
          <w:shd w:val="clear" w:color="auto" w:fill="FFFFFF"/>
          <w14:textFill>
            <w14:solidFill>
              <w14:schemeClr w14:val="tx1"/>
            </w14:solidFill>
          </w14:textFill>
        </w:rPr>
        <w:t>，</w:t>
      </w:r>
      <w:r>
        <w:rPr>
          <w:rFonts w:hint="default" w:ascii="Times New Roman" w:hAnsi="Times New Roman" w:eastAsia="方正仿宋_GBK" w:cs="Times New Roman"/>
          <w:color w:val="000000" w:themeColor="text1"/>
          <w:sz w:val="32"/>
          <w:szCs w:val="32"/>
          <w:highlight w:val="none"/>
          <w:shd w:val="clear" w:color="auto" w:fill="FFFFFF"/>
          <w:lang w:val="en-US" w:eastAsia="zh-CN"/>
          <w14:textFill>
            <w14:solidFill>
              <w14:schemeClr w14:val="tx1"/>
            </w14:solidFill>
          </w14:textFill>
        </w:rPr>
        <w:t>增加了</w:t>
      </w:r>
      <w:r>
        <w:rPr>
          <w:rFonts w:hint="default" w:ascii="Times New Roman" w:hAnsi="Times New Roman" w:eastAsia="方正仿宋_GBK" w:cs="Times New Roman"/>
          <w:color w:val="000000" w:themeColor="text1"/>
          <w:sz w:val="32"/>
          <w:szCs w:val="32"/>
          <w:highlight w:val="none"/>
          <w:shd w:val="clear" w:color="auto" w:fill="FFFFFF"/>
          <w14:textFill>
            <w14:solidFill>
              <w14:schemeClr w14:val="tx1"/>
            </w14:solidFill>
          </w14:textFill>
        </w:rPr>
        <w:t>对森林、水资源和生态环境的保护与恢复</w:t>
      </w:r>
      <w:r>
        <w:rPr>
          <w:rFonts w:hint="default" w:ascii="Times New Roman" w:hAnsi="Times New Roman" w:eastAsia="方正仿宋_GBK" w:cs="Times New Roman"/>
          <w:color w:val="000000" w:themeColor="text1"/>
          <w:sz w:val="32"/>
          <w:szCs w:val="32"/>
          <w:highlight w:val="none"/>
          <w:shd w:val="clear" w:color="auto" w:fill="FFFFFF"/>
          <w:lang w:val="en-US" w:eastAsia="zh-CN"/>
          <w14:textFill>
            <w14:solidFill>
              <w14:schemeClr w14:val="tx1"/>
            </w14:solidFill>
          </w14:textFill>
        </w:rPr>
        <w:t>项目投入，</w:t>
      </w:r>
      <w:r>
        <w:rPr>
          <w:rFonts w:hint="default" w:ascii="Times New Roman" w:hAnsi="Times New Roman" w:eastAsia="方正仿宋_GBK" w:cs="Times New Roman"/>
          <w:color w:val="000000" w:themeColor="text1"/>
          <w:sz w:val="32"/>
          <w:szCs w:val="32"/>
          <w:highlight w:val="none"/>
          <w:shd w:val="clear" w:color="auto" w:fill="FFFFFF"/>
          <w14:textFill>
            <w14:solidFill>
              <w14:schemeClr w14:val="tx1"/>
            </w14:solidFill>
          </w14:textFill>
        </w:rPr>
        <w:t>增加</w:t>
      </w:r>
      <w:r>
        <w:rPr>
          <w:rFonts w:hint="default" w:ascii="Times New Roman" w:hAnsi="Times New Roman" w:eastAsia="方正仿宋_GBK" w:cs="Times New Roman"/>
          <w:color w:val="000000" w:themeColor="text1"/>
          <w:sz w:val="32"/>
          <w:szCs w:val="32"/>
          <w:highlight w:val="none"/>
          <w:shd w:val="clear" w:color="auto" w:fill="FFFFFF"/>
          <w:lang w:eastAsia="zh-CN"/>
          <w14:textFill>
            <w14:solidFill>
              <w14:schemeClr w14:val="tx1"/>
            </w14:solidFill>
          </w14:textFill>
        </w:rPr>
        <w:t>了</w:t>
      </w:r>
      <w:r>
        <w:rPr>
          <w:rFonts w:hint="default" w:ascii="Times New Roman" w:hAnsi="Times New Roman" w:eastAsia="方正仿宋_GBK" w:cs="Times New Roman"/>
          <w:color w:val="000000" w:themeColor="text1"/>
          <w:sz w:val="32"/>
          <w:szCs w:val="32"/>
          <w:highlight w:val="none"/>
          <w:shd w:val="clear" w:color="auto" w:fill="FFFFFF"/>
          <w14:textFill>
            <w14:solidFill>
              <w14:schemeClr w14:val="tx1"/>
            </w14:solidFill>
          </w14:textFill>
        </w:rPr>
        <w:t>对农村基础设施和公共服务的</w:t>
      </w:r>
      <w:r>
        <w:rPr>
          <w:rFonts w:hint="default" w:ascii="Times New Roman" w:hAnsi="Times New Roman" w:eastAsia="方正仿宋_GBK" w:cs="Times New Roman"/>
          <w:color w:val="000000" w:themeColor="text1"/>
          <w:sz w:val="32"/>
          <w:szCs w:val="32"/>
          <w:highlight w:val="none"/>
          <w:shd w:val="clear" w:color="auto" w:fill="FFFFFF"/>
          <w:lang w:val="en-US" w:eastAsia="zh-CN"/>
          <w14:textFill>
            <w14:solidFill>
              <w14:schemeClr w14:val="tx1"/>
            </w14:solidFill>
          </w14:textFill>
        </w:rPr>
        <w:t>项目</w:t>
      </w:r>
      <w:r>
        <w:rPr>
          <w:rFonts w:hint="default" w:ascii="Times New Roman" w:hAnsi="Times New Roman" w:eastAsia="方正仿宋_GBK" w:cs="Times New Roman"/>
          <w:color w:val="000000" w:themeColor="text1"/>
          <w:sz w:val="32"/>
          <w:szCs w:val="32"/>
          <w:highlight w:val="none"/>
          <w:shd w:val="clear" w:color="auto" w:fill="FFFFFF"/>
          <w14:textFill>
            <w14:solidFill>
              <w14:schemeClr w14:val="tx1"/>
            </w14:solidFill>
          </w14:textFill>
        </w:rPr>
        <w:t>投入</w:t>
      </w:r>
      <w:r>
        <w:rPr>
          <w:rFonts w:hint="default" w:ascii="Times New Roman" w:hAnsi="Times New Roman" w:eastAsia="方正仿宋_GBK" w:cs="Times New Roman"/>
          <w:color w:val="000000" w:themeColor="text1"/>
          <w:sz w:val="32"/>
          <w:szCs w:val="32"/>
          <w:highlight w:val="none"/>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highlight w:val="none"/>
          <w:shd w:val="clear" w:color="auto" w:fill="FFFFFF"/>
          <w:lang w:val="en-US" w:eastAsia="zh-CN"/>
          <w14:textFill>
            <w14:solidFill>
              <w14:schemeClr w14:val="tx1"/>
            </w14:solidFill>
          </w14:textFill>
        </w:rPr>
        <w:t>增加了自然灾害补贴项目等</w:t>
      </w:r>
      <w:r>
        <w:rPr>
          <w:rFonts w:hint="eastAsia" w:ascii="Times New Roman" w:hAnsi="Times New Roman" w:eastAsia="方正仿宋_GBK" w:cs="Times New Roman"/>
          <w:color w:val="000000" w:themeColor="text1"/>
          <w:sz w:val="32"/>
          <w:szCs w:val="32"/>
          <w:highlight w:val="none"/>
          <w:shd w:val="clear" w:color="auto" w:fill="FFFFFF"/>
          <w:lang w:val="en-US" w:eastAsia="zh-CN"/>
          <w14:textFill>
            <w14:solidFill>
              <w14:schemeClr w14:val="tx1"/>
            </w14:solidFill>
          </w14:textFill>
        </w:rPr>
        <w:t>，所以</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导致</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项目收支</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总体增加。</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2" w:firstLineChars="200"/>
        <w:jc w:val="both"/>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Style w:val="8"/>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2.收入情况。</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2024年</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度收入合计3256.88万元，与2023年度相比，增加592.93万元，增长22.3%，主要原因是我单位新设机构，</w:t>
      </w:r>
      <w:r>
        <w:rPr>
          <w:rFonts w:hint="eastAsia"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且</w:t>
      </w:r>
      <w:r>
        <w:rPr>
          <w:rFonts w:hint="default" w:ascii="Times New Roman" w:hAnsi="Times New Roman" w:eastAsia="方正仿宋_GBK" w:cs="Times New Roman"/>
          <w:color w:val="000000" w:themeColor="text1"/>
          <w:sz w:val="32"/>
          <w:szCs w:val="32"/>
          <w:highlight w:val="none"/>
          <w:shd w:val="clear" w:color="auto" w:fill="FFFFFF"/>
          <w14:textFill>
            <w14:solidFill>
              <w14:schemeClr w14:val="tx1"/>
            </w14:solidFill>
          </w14:textFill>
        </w:rPr>
        <w:t>政府推进农业现代化，增加</w:t>
      </w:r>
      <w:r>
        <w:rPr>
          <w:rFonts w:hint="default" w:ascii="Times New Roman" w:hAnsi="Times New Roman" w:eastAsia="方正仿宋_GBK" w:cs="Times New Roman"/>
          <w:color w:val="000000" w:themeColor="text1"/>
          <w:sz w:val="32"/>
          <w:szCs w:val="32"/>
          <w:highlight w:val="none"/>
          <w:shd w:val="clear" w:color="auto" w:fill="FFFFFF"/>
          <w:lang w:eastAsia="zh-CN"/>
          <w14:textFill>
            <w14:solidFill>
              <w14:schemeClr w14:val="tx1"/>
            </w14:solidFill>
          </w14:textFill>
        </w:rPr>
        <w:t>了</w:t>
      </w:r>
      <w:r>
        <w:rPr>
          <w:rFonts w:hint="default" w:ascii="Times New Roman" w:hAnsi="Times New Roman" w:eastAsia="方正仿宋_GBK" w:cs="Times New Roman"/>
          <w:color w:val="000000" w:themeColor="text1"/>
          <w:sz w:val="32"/>
          <w:szCs w:val="32"/>
          <w:highlight w:val="none"/>
          <w:shd w:val="clear" w:color="auto" w:fill="FFFFFF"/>
          <w14:textFill>
            <w14:solidFill>
              <w14:schemeClr w14:val="tx1"/>
            </w14:solidFill>
          </w14:textFill>
        </w:rPr>
        <w:t>对农业基础设施、科技研发和农民培训的</w:t>
      </w:r>
      <w:r>
        <w:rPr>
          <w:rFonts w:hint="default" w:ascii="Times New Roman" w:hAnsi="Times New Roman" w:eastAsia="方正仿宋_GBK" w:cs="Times New Roman"/>
          <w:color w:val="000000" w:themeColor="text1"/>
          <w:sz w:val="32"/>
          <w:szCs w:val="32"/>
          <w:highlight w:val="none"/>
          <w:shd w:val="clear" w:color="auto" w:fill="FFFFFF"/>
          <w:lang w:val="en-US" w:eastAsia="zh-CN"/>
          <w14:textFill>
            <w14:solidFill>
              <w14:schemeClr w14:val="tx1"/>
            </w14:solidFill>
          </w14:textFill>
        </w:rPr>
        <w:t>项目</w:t>
      </w:r>
      <w:r>
        <w:rPr>
          <w:rFonts w:hint="default" w:ascii="Times New Roman" w:hAnsi="Times New Roman" w:eastAsia="方正仿宋_GBK" w:cs="Times New Roman"/>
          <w:color w:val="000000" w:themeColor="text1"/>
          <w:sz w:val="32"/>
          <w:szCs w:val="32"/>
          <w:highlight w:val="none"/>
          <w:shd w:val="clear" w:color="auto" w:fill="FFFFFF"/>
          <w14:textFill>
            <w14:solidFill>
              <w14:schemeClr w14:val="tx1"/>
            </w14:solidFill>
          </w14:textFill>
        </w:rPr>
        <w:t>投入</w:t>
      </w:r>
      <w:r>
        <w:rPr>
          <w:rFonts w:hint="default" w:ascii="Times New Roman" w:hAnsi="Times New Roman" w:eastAsia="方正仿宋_GBK" w:cs="Times New Roman"/>
          <w:color w:val="000000" w:themeColor="text1"/>
          <w:sz w:val="32"/>
          <w:szCs w:val="32"/>
          <w:highlight w:val="none"/>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highlight w:val="none"/>
          <w:lang w:val="en-US" w:eastAsia="zh-CN"/>
          <w14:textFill>
            <w14:solidFill>
              <w14:schemeClr w14:val="tx1"/>
            </w14:solidFill>
          </w14:textFill>
        </w:rPr>
        <w:t>农委、交委、应急局等部门下达项目增多</w:t>
      </w:r>
      <w:r>
        <w:rPr>
          <w:rFonts w:hint="eastAsia" w:ascii="Times New Roman" w:hAnsi="Times New Roman" w:eastAsia="方正仿宋_GBK"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导致项目收</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入</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总体增加</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其中：财政拨款收入</w:t>
      </w:r>
      <w:r>
        <w:rPr>
          <w:rFonts w:hint="default" w:ascii="Times New Roman" w:hAnsi="Times New Roman" w:eastAsia="方正仿宋_GBK" w:cs="Times New Roman"/>
          <w:color w:val="000000" w:themeColor="text1"/>
          <w:sz w:val="32"/>
          <w:szCs w:val="32"/>
          <w14:textFill>
            <w14:solidFill>
              <w14:schemeClr w14:val="tx1"/>
            </w14:solidFill>
          </w14:textFill>
        </w:rPr>
        <w:t>3256.88</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万元，占</w:t>
      </w:r>
      <w:r>
        <w:rPr>
          <w:rFonts w:hint="default" w:ascii="Times New Roman" w:hAnsi="Times New Roman" w:eastAsia="方正仿宋_GBK" w:cs="Times New Roman"/>
          <w:color w:val="000000" w:themeColor="text1"/>
          <w:sz w:val="32"/>
          <w:szCs w:val="32"/>
          <w14:textFill>
            <w14:solidFill>
              <w14:schemeClr w14:val="tx1"/>
            </w14:solidFill>
          </w14:textFill>
        </w:rPr>
        <w:t>100.00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%；事业收入</w:t>
      </w:r>
      <w:r>
        <w:rPr>
          <w:rFonts w:hint="default" w:ascii="Times New Roman" w:hAnsi="Times New Roman" w:eastAsia="方正仿宋_GBK" w:cs="Times New Roman"/>
          <w:color w:val="000000" w:themeColor="text1"/>
          <w:sz w:val="32"/>
          <w:szCs w:val="32"/>
          <w14:textFill>
            <w14:solidFill>
              <w14:schemeClr w14:val="tx1"/>
            </w14:solidFill>
          </w14:textFill>
        </w:rPr>
        <w:t>0.00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万元，占0.00%；经营收入</w:t>
      </w:r>
      <w:r>
        <w:rPr>
          <w:rFonts w:hint="default" w:ascii="Times New Roman" w:hAnsi="Times New Roman" w:eastAsia="方正仿宋_GBK" w:cs="Times New Roman"/>
          <w:color w:val="000000" w:themeColor="text1"/>
          <w:sz w:val="32"/>
          <w:szCs w:val="32"/>
          <w14:textFill>
            <w14:solidFill>
              <w14:schemeClr w14:val="tx1"/>
            </w14:solidFill>
          </w14:textFill>
        </w:rPr>
        <w:t>0.00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万元，占0.00%；其他收入</w:t>
      </w:r>
      <w:r>
        <w:rPr>
          <w:rFonts w:hint="default" w:ascii="Times New Roman" w:hAnsi="Times New Roman" w:eastAsia="方正仿宋_GBK" w:cs="Times New Roman"/>
          <w:color w:val="000000" w:themeColor="text1"/>
          <w:sz w:val="32"/>
          <w:szCs w:val="32"/>
          <w14:textFill>
            <w14:solidFill>
              <w14:schemeClr w14:val="tx1"/>
            </w14:solidFill>
          </w14:textFill>
        </w:rPr>
        <w:t>0.00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万元，占0.00%。此外，使用非财政拨款结余和专用结余</w:t>
      </w:r>
      <w:r>
        <w:rPr>
          <w:rFonts w:hint="default" w:ascii="Times New Roman" w:hAnsi="Times New Roman" w:eastAsia="方正仿宋_GBK" w:cs="Times New Roman"/>
          <w:color w:val="000000" w:themeColor="text1"/>
          <w:sz w:val="32"/>
          <w:szCs w:val="32"/>
          <w14:textFill>
            <w14:solidFill>
              <w14:schemeClr w14:val="tx1"/>
            </w14:solidFill>
          </w14:textFill>
        </w:rPr>
        <w:t>0.00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万元，年初结转和结余</w:t>
      </w:r>
      <w:r>
        <w:rPr>
          <w:rFonts w:hint="default" w:ascii="Times New Roman" w:hAnsi="Times New Roman" w:eastAsia="方正仿宋_GBK" w:cs="Times New Roman"/>
          <w:color w:val="000000" w:themeColor="text1"/>
          <w:sz w:val="32"/>
          <w:szCs w:val="32"/>
          <w14:textFill>
            <w14:solidFill>
              <w14:schemeClr w14:val="tx1"/>
            </w14:solidFill>
          </w14:textFill>
        </w:rPr>
        <w:t>0.00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2" w:firstLineChars="200"/>
        <w:jc w:val="both"/>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Style w:val="8"/>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3.支出情况。</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2024年</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度支出合计</w:t>
      </w:r>
      <w:r>
        <w:rPr>
          <w:rFonts w:hint="default" w:ascii="Times New Roman" w:hAnsi="Times New Roman" w:eastAsia="方正仿宋_GBK" w:cs="Times New Roman"/>
          <w:color w:val="000000" w:themeColor="text1"/>
          <w:sz w:val="32"/>
          <w:szCs w:val="32"/>
          <w14:textFill>
            <w14:solidFill>
              <w14:schemeClr w14:val="tx1"/>
            </w14:solidFill>
          </w14:textFill>
        </w:rPr>
        <w:t>3256.88</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万元，与2023年度相比，增加592.93万元，增长22.3%，主要原因是我单位新设机构，导致项目</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支出</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总体增加。其中：基本支出</w:t>
      </w:r>
      <w:r>
        <w:rPr>
          <w:rFonts w:hint="default" w:ascii="Times New Roman" w:hAnsi="Times New Roman" w:eastAsia="方正仿宋_GBK" w:cs="Times New Roman"/>
          <w:color w:val="000000" w:themeColor="text1"/>
          <w:sz w:val="32"/>
          <w:szCs w:val="32"/>
          <w14:textFill>
            <w14:solidFill>
              <w14:schemeClr w14:val="tx1"/>
            </w14:solidFill>
          </w14:textFill>
        </w:rPr>
        <w:t>866.75</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万元，占26.61%；项目支出</w:t>
      </w:r>
      <w:r>
        <w:rPr>
          <w:rFonts w:hint="default" w:ascii="Times New Roman" w:hAnsi="Times New Roman" w:eastAsia="方正仿宋_GBK" w:cs="Times New Roman"/>
          <w:color w:val="000000" w:themeColor="text1"/>
          <w:sz w:val="32"/>
          <w:szCs w:val="32"/>
          <w14:textFill>
            <w14:solidFill>
              <w14:schemeClr w14:val="tx1"/>
            </w14:solidFill>
          </w14:textFill>
        </w:rPr>
        <w:t>2390.14</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万元，占73.39%；经营支出</w:t>
      </w:r>
      <w:r>
        <w:rPr>
          <w:rFonts w:hint="default" w:ascii="Times New Roman" w:hAnsi="Times New Roman" w:eastAsia="方正仿宋_GBK" w:cs="Times New Roman"/>
          <w:color w:val="000000" w:themeColor="text1"/>
          <w:sz w:val="32"/>
          <w:szCs w:val="32"/>
          <w14:textFill>
            <w14:solidFill>
              <w14:schemeClr w14:val="tx1"/>
            </w14:solidFill>
          </w14:textFill>
        </w:rPr>
        <w:t>0.00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万元，占0.00%。此外，结余分配</w:t>
      </w:r>
      <w:r>
        <w:rPr>
          <w:rFonts w:hint="default" w:ascii="Times New Roman" w:hAnsi="Times New Roman" w:eastAsia="方正仿宋_GBK" w:cs="Times New Roman"/>
          <w:color w:val="000000" w:themeColor="text1"/>
          <w:sz w:val="32"/>
          <w:szCs w:val="32"/>
          <w14:textFill>
            <w14:solidFill>
              <w14:schemeClr w14:val="tx1"/>
            </w14:solidFill>
          </w14:textFill>
        </w:rPr>
        <w:t>0.00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2" w:firstLineChars="200"/>
        <w:jc w:val="both"/>
        <w:textAlignment w:val="auto"/>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pPr>
      <w:r>
        <w:rPr>
          <w:rStyle w:val="8"/>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4.结转结余情况。</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2024年</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度年末结转和结余</w:t>
      </w:r>
      <w:r>
        <w:rPr>
          <w:rFonts w:hint="default" w:ascii="Times New Roman" w:hAnsi="Times New Roman" w:eastAsia="方正仿宋_GBK" w:cs="Times New Roman"/>
          <w:color w:val="000000" w:themeColor="text1"/>
          <w:sz w:val="32"/>
          <w:szCs w:val="32"/>
          <w14:textFill>
            <w14:solidFill>
              <w14:schemeClr w14:val="tx1"/>
            </w14:solidFill>
          </w14:textFill>
        </w:rPr>
        <w:t>0.00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万元，与2023年度相比，无增减</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pPr>
      <w:r>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t>（二）财政拨款收入支出决算总体情况说明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2024年</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度财政拨款收、支总计3256.88万元。与202</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3</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年相比，财政拨款收、支总计各增加592.93万元，增长22.3%。主要原因是</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农林水收支类增加</w:t>
      </w:r>
      <w:r>
        <w:rPr>
          <w:rFonts w:hint="eastAsia"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2024年度乡村振兴项目基础设施建设项目数量多于2023年度乡村振兴项目基础设施建设项目，增加了巫溪县土城镇2024年魔芋种植项目，巫溪县土城镇土城社区2024年鲟鱼基地建设项目。</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pPr>
      <w:r>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t>（三）一般公共预算财政拨款收入支出决算情况说明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2"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Style w:val="8"/>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1.收入情况。</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2024年</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度一般公共预算财政拨款收入</w:t>
      </w:r>
      <w:r>
        <w:rPr>
          <w:rFonts w:hint="default" w:ascii="Times New Roman" w:hAnsi="Times New Roman" w:eastAsia="方正仿宋_GBK" w:cs="Times New Roman"/>
          <w:color w:val="000000" w:themeColor="text1"/>
          <w:sz w:val="32"/>
          <w:szCs w:val="32"/>
          <w14:textFill>
            <w14:solidFill>
              <w14:schemeClr w14:val="tx1"/>
            </w14:solidFill>
          </w14:textFill>
        </w:rPr>
        <w:t>3243.96</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万元，与2023年度相比，增加580.01万元，增长21.8%。主要原因是农林水</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收入及下设单位收入</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增加</w:t>
      </w: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2024年度乡村振兴项目基础设施建设项目数量多于2023年度乡村振兴项目基础设施建设项目，增加了巫溪县土城镇2024年魔芋种植项目，巫溪县土城镇土城社区2024年鲟鱼基地建设项目</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。较年初预算数增加2102.09万元，增长184.1%。主要原因是</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2024年度</w:t>
      </w:r>
      <w:r>
        <w:rPr>
          <w:rFonts w:hint="eastAsia"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年中加大了对</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巫溪县土城镇2024年魔芋种植项目，巫溪县土城镇土城社区2024年鲟鱼基地建设项目</w:t>
      </w:r>
      <w:r>
        <w:rPr>
          <w:rFonts w:hint="eastAsia"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等项目的投入</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此外，年初财政拨款结转和结余</w:t>
      </w:r>
      <w:r>
        <w:rPr>
          <w:rFonts w:hint="default" w:ascii="Times New Roman" w:hAnsi="Times New Roman" w:eastAsia="方正仿宋_GBK" w:cs="Times New Roman"/>
          <w:color w:val="000000" w:themeColor="text1"/>
          <w:sz w:val="32"/>
          <w:szCs w:val="32"/>
          <w14:textFill>
            <w14:solidFill>
              <w14:schemeClr w14:val="tx1"/>
            </w14:solidFill>
          </w14:textFill>
        </w:rPr>
        <w:t>0.00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2"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Style w:val="8"/>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2.支出情况。</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2024年</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度一般公共预算财政拨款支出</w:t>
      </w:r>
      <w:r>
        <w:rPr>
          <w:rFonts w:hint="default" w:ascii="Times New Roman" w:hAnsi="Times New Roman" w:eastAsia="方正仿宋_GBK" w:cs="Times New Roman"/>
          <w:color w:val="000000" w:themeColor="text1"/>
          <w:sz w:val="32"/>
          <w:szCs w:val="32"/>
          <w14:textFill>
            <w14:solidFill>
              <w14:schemeClr w14:val="tx1"/>
            </w14:solidFill>
          </w14:textFill>
        </w:rPr>
        <w:t>3243.96</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万元，与2023年度相比，增加580.01万元，增长21.8%。主要原因是农林水支出</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及下设单位支出</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增加</w:t>
      </w: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2024年度乡村振兴项目基础设施建设项目数量多于2023年度乡村振兴项目基础设施建设项目，增加了巫溪县土城镇2024年魔芋种植项目，巫溪县土城镇土城社区2024年鲟鱼基地建设项目。</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较年初预算数增加2102.09万元，增长184.1%。主要原因是农林水支出</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及下设单位支出</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增加</w:t>
      </w: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2024年度</w:t>
      </w:r>
      <w:r>
        <w:rPr>
          <w:rFonts w:hint="eastAsia"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年中加大了对</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巫溪县土城镇2024年魔芋种植项目，巫溪县土城镇土城社区2024年鲟鱼基地建设项目</w:t>
      </w:r>
      <w:r>
        <w:rPr>
          <w:rFonts w:hint="eastAsia"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等项目的投入</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2" w:firstLineChars="200"/>
        <w:jc w:val="both"/>
        <w:textAlignment w:val="auto"/>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pPr>
      <w:r>
        <w:rPr>
          <w:rStyle w:val="8"/>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3.结转结余情况。</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2024年</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度年末一般公共预算财政拨款结转和结余</w:t>
      </w:r>
      <w:r>
        <w:rPr>
          <w:rFonts w:hint="default" w:ascii="Times New Roman" w:hAnsi="Times New Roman" w:eastAsia="方正仿宋_GBK" w:cs="Times New Roman"/>
          <w:color w:val="000000" w:themeColor="text1"/>
          <w:sz w:val="32"/>
          <w:szCs w:val="32"/>
          <w14:textFill>
            <w14:solidFill>
              <w14:schemeClr w14:val="tx1"/>
            </w14:solidFill>
          </w14:textFill>
        </w:rPr>
        <w:t>0.00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万元，与2023年度相比，无增减</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2" w:firstLineChars="200"/>
        <w:jc w:val="both"/>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Style w:val="8"/>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 xml:space="preserve"> 4.比较情况。</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本部门</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2024年</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度一般公共预算财政拨款支出主要用于以下几个方面：</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（1）一般公共服务支出</w:t>
      </w:r>
      <w:r>
        <w:rPr>
          <w:rFonts w:hint="default" w:ascii="Times New Roman" w:hAnsi="Times New Roman" w:eastAsia="方正仿宋_GBK" w:cs="Times New Roman"/>
          <w:color w:val="000000" w:themeColor="text1"/>
          <w:sz w:val="32"/>
          <w:szCs w:val="32"/>
          <w14:textFill>
            <w14:solidFill>
              <w14:schemeClr w14:val="tx1"/>
            </w14:solidFill>
          </w14:textFill>
        </w:rPr>
        <w:t>616.06</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万元，占</w:t>
      </w:r>
      <w:r>
        <w:rPr>
          <w:rFonts w:hint="default" w:ascii="Times New Roman" w:hAnsi="Times New Roman" w:eastAsia="方正仿宋_GBK" w:cs="Times New Roman"/>
          <w:color w:val="000000" w:themeColor="text1"/>
          <w:sz w:val="32"/>
          <w:szCs w:val="32"/>
          <w14:textFill>
            <w14:solidFill>
              <w14:schemeClr w14:val="tx1"/>
            </w14:solidFill>
          </w14:textFill>
        </w:rPr>
        <w:t>18.99</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%，较年初预算数增加5.62万元，增长0.9%，主要原因是</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相关</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业务拓展，新增临时性工作任务，相应增加了一般公共服务方面的费用支出。</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2</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）文化旅游体育与传媒支出</w:t>
      </w:r>
      <w:r>
        <w:rPr>
          <w:rFonts w:hint="default" w:ascii="Times New Roman" w:hAnsi="Times New Roman" w:eastAsia="方正仿宋_GBK" w:cs="Times New Roman"/>
          <w:color w:val="000000" w:themeColor="text1"/>
          <w:sz w:val="32"/>
          <w:szCs w:val="32"/>
          <w14:textFill>
            <w14:solidFill>
              <w14:schemeClr w14:val="tx1"/>
            </w14:solidFill>
          </w14:textFill>
        </w:rPr>
        <w:t>1.39</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万元，占</w:t>
      </w:r>
      <w:r>
        <w:rPr>
          <w:rFonts w:hint="default" w:ascii="Times New Roman" w:hAnsi="Times New Roman" w:eastAsia="方正仿宋_GBK" w:cs="Times New Roman"/>
          <w:color w:val="000000" w:themeColor="text1"/>
          <w:sz w:val="32"/>
          <w:szCs w:val="32"/>
          <w14:textFill>
            <w14:solidFill>
              <w14:schemeClr w14:val="tx1"/>
            </w14:solidFill>
          </w14:textFill>
        </w:rPr>
        <w:t>0.04</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%，较年初预算数增加1.39万元，增长100.0%，主要原因是为积极响应上级关于文化旅游体育与传媒领域高质量发展的政策导向，开展</w:t>
      </w:r>
      <w:r>
        <w:rPr>
          <w:rFonts w:hint="eastAsia"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了</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乡村特色文化活动策划与组织，挖掘和传承乡村优秀传统文化；同时，加大了对本地文化资源的宣传推广力度，制作高质量宣传资料、拓展线上宣传渠道等。</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3</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）社会保障与就业支出</w:t>
      </w:r>
      <w:r>
        <w:rPr>
          <w:rFonts w:hint="default" w:ascii="Times New Roman" w:hAnsi="Times New Roman" w:eastAsia="方正仿宋_GBK" w:cs="Times New Roman"/>
          <w:color w:val="000000" w:themeColor="text1"/>
          <w:sz w:val="32"/>
          <w:szCs w:val="32"/>
          <w14:textFill>
            <w14:solidFill>
              <w14:schemeClr w14:val="tx1"/>
            </w14:solidFill>
          </w14:textFill>
        </w:rPr>
        <w:t>181.56</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万元，占</w:t>
      </w:r>
      <w:r>
        <w:rPr>
          <w:rFonts w:hint="default" w:ascii="Times New Roman" w:hAnsi="Times New Roman" w:eastAsia="方正仿宋_GBK" w:cs="Times New Roman"/>
          <w:color w:val="000000" w:themeColor="text1"/>
          <w:sz w:val="32"/>
          <w:szCs w:val="32"/>
          <w14:textFill>
            <w14:solidFill>
              <w14:schemeClr w14:val="tx1"/>
            </w14:solidFill>
          </w14:textFill>
        </w:rPr>
        <w:t>5.60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%，较年初预算数增加28.58万元，增长18.7%，主要原因是落实社保提标政策，提高在职及退休人员社保待遇，且人员增加，致使支出上升。</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4</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）卫生健康支出</w:t>
      </w:r>
      <w:r>
        <w:rPr>
          <w:rFonts w:hint="default" w:ascii="Times New Roman" w:hAnsi="Times New Roman" w:eastAsia="方正仿宋_GBK" w:cs="Times New Roman"/>
          <w:color w:val="000000" w:themeColor="text1"/>
          <w:sz w:val="32"/>
          <w:szCs w:val="32"/>
          <w14:textFill>
            <w14:solidFill>
              <w14:schemeClr w14:val="tx1"/>
            </w14:solidFill>
          </w14:textFill>
        </w:rPr>
        <w:t>39.62</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万元，占</w:t>
      </w:r>
      <w:r>
        <w:rPr>
          <w:rFonts w:hint="default" w:ascii="Times New Roman" w:hAnsi="Times New Roman" w:eastAsia="方正仿宋_GBK" w:cs="Times New Roman"/>
          <w:color w:val="000000" w:themeColor="text1"/>
          <w:sz w:val="32"/>
          <w:szCs w:val="32"/>
          <w14:textFill>
            <w14:solidFill>
              <w14:schemeClr w14:val="tx1"/>
            </w14:solidFill>
          </w14:textFill>
        </w:rPr>
        <w:t>1.22</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%，较年初预算数减少0.15万元，下降0.4%，主要原因是优化医疗费用管理，减少不必要的医疗开支，控制了费用增长。</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5</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）节能环保支出</w:t>
      </w:r>
      <w:r>
        <w:rPr>
          <w:rFonts w:hint="default" w:ascii="Times New Roman" w:hAnsi="Times New Roman" w:eastAsia="方正仿宋_GBK" w:cs="Times New Roman"/>
          <w:color w:val="000000" w:themeColor="text1"/>
          <w:sz w:val="32"/>
          <w:szCs w:val="32"/>
          <w14:textFill>
            <w14:solidFill>
              <w14:schemeClr w14:val="tx1"/>
            </w14:solidFill>
          </w14:textFill>
        </w:rPr>
        <w:t>60.32</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万元，占</w:t>
      </w:r>
      <w:r>
        <w:rPr>
          <w:rFonts w:hint="default" w:ascii="Times New Roman" w:hAnsi="Times New Roman" w:eastAsia="方正仿宋_GBK" w:cs="Times New Roman"/>
          <w:color w:val="000000" w:themeColor="text1"/>
          <w:sz w:val="32"/>
          <w:szCs w:val="32"/>
          <w14:textFill>
            <w14:solidFill>
              <w14:schemeClr w14:val="tx1"/>
            </w14:solidFill>
          </w14:textFill>
        </w:rPr>
        <w:t>1.86</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较年初预算数增加60.32万元，增长100.0%，主要原因是为积极响应国家绿色发展战略，切实改善本地生态环境质量，政府加大了节能环保领域的工作力度。新增了农村生活污水处理设施建设项目等。这些项目的实施需要相应的资金支持，由于年初未将其纳入预算范畴，从而导致节能环保支出较年初预算全额增加。</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6</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）城乡社区支出</w:t>
      </w:r>
      <w:r>
        <w:rPr>
          <w:rFonts w:hint="default" w:ascii="Times New Roman" w:hAnsi="Times New Roman" w:eastAsia="方正仿宋_GBK" w:cs="Times New Roman"/>
          <w:color w:val="000000" w:themeColor="text1"/>
          <w:sz w:val="32"/>
          <w:szCs w:val="32"/>
          <w14:textFill>
            <w14:solidFill>
              <w14:schemeClr w14:val="tx1"/>
            </w14:solidFill>
          </w14:textFill>
        </w:rPr>
        <w:t>64.93</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万元，占</w:t>
      </w:r>
      <w:r>
        <w:rPr>
          <w:rFonts w:hint="default" w:ascii="Times New Roman" w:hAnsi="Times New Roman" w:eastAsia="方正仿宋_GBK" w:cs="Times New Roman"/>
          <w:color w:val="000000" w:themeColor="text1"/>
          <w:sz w:val="32"/>
          <w:szCs w:val="32"/>
          <w14:textFill>
            <w14:solidFill>
              <w14:schemeClr w14:val="tx1"/>
            </w14:solidFill>
          </w14:textFill>
        </w:rPr>
        <w:t>2.00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%，较年初预算数增加64.93万元，增长100.0%，主要原因</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是</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为提升城乡社区居民的生活品质，促进社区和谐发展，政府根据前期调研结果，精心谋划并实施了多项城乡社区建设项目，包括环境整治项目、社区公共服务设施配套项目等。这些项目的推进需要大量资金，由于年初未做预算安排，使得城乡社区支出较年初预算出现全额增长。</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7</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）农林水支出</w:t>
      </w:r>
      <w:r>
        <w:rPr>
          <w:rFonts w:hint="default" w:ascii="Times New Roman" w:hAnsi="Times New Roman" w:eastAsia="方正仿宋_GBK" w:cs="Times New Roman"/>
          <w:color w:val="000000" w:themeColor="text1"/>
          <w:sz w:val="32"/>
          <w:szCs w:val="32"/>
          <w14:textFill>
            <w14:solidFill>
              <w14:schemeClr w14:val="tx1"/>
            </w14:solidFill>
          </w14:textFill>
        </w:rPr>
        <w:t>1882.30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万元，占</w:t>
      </w:r>
      <w:r>
        <w:rPr>
          <w:rFonts w:hint="default" w:ascii="Times New Roman" w:hAnsi="Times New Roman" w:eastAsia="方正仿宋_GBK" w:cs="Times New Roman"/>
          <w:color w:val="000000" w:themeColor="text1"/>
          <w:sz w:val="32"/>
          <w:szCs w:val="32"/>
          <w14:textFill>
            <w14:solidFill>
              <w14:schemeClr w14:val="tx1"/>
            </w14:solidFill>
          </w14:textFill>
        </w:rPr>
        <w:t>58.02</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%，较年初预算数增加1596.55万元，增长558.7%，主要原因是本年度积极响应乡村振兴战略，加大了对农业农村水利领域的投入，新增多个农业产业扶持、水利设施建设项目，导致相关经费支出增加。</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8</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）交通运输支出</w:t>
      </w:r>
      <w:r>
        <w:rPr>
          <w:rFonts w:hint="default" w:ascii="Times New Roman" w:hAnsi="Times New Roman" w:eastAsia="方正仿宋_GBK" w:cs="Times New Roman"/>
          <w:color w:val="000000" w:themeColor="text1"/>
          <w:sz w:val="32"/>
          <w:szCs w:val="32"/>
          <w14:textFill>
            <w14:solidFill>
              <w14:schemeClr w14:val="tx1"/>
            </w14:solidFill>
          </w14:textFill>
        </w:rPr>
        <w:t>290.97</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万元，占</w:t>
      </w:r>
      <w:r>
        <w:rPr>
          <w:rFonts w:hint="default" w:ascii="Times New Roman" w:hAnsi="Times New Roman" w:eastAsia="方正仿宋_GBK" w:cs="Times New Roman"/>
          <w:color w:val="000000" w:themeColor="text1"/>
          <w:sz w:val="32"/>
          <w:szCs w:val="32"/>
          <w14:textFill>
            <w14:solidFill>
              <w14:schemeClr w14:val="tx1"/>
            </w14:solidFill>
          </w14:textFill>
        </w:rPr>
        <w:t>8.97</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较年初预算数增加290.97万元，增长100.0%，主要原因是为进一步完善本地交通网络，提升交通运输能力，促进区域经济发展，政府加大了交通运输领域的投入。经统筹规划，启动了多项重要的交通运输建设项目，如农村公路拓宽改造项目等。这些项目的开展需要充足的资金保障，由于年初未将其纳入预算体系，导致交通运输支出较年初预算全额增加。</w:t>
      </w:r>
    </w:p>
    <w:p>
      <w:pPr>
        <w:keepNext w:val="0"/>
        <w:keepLines w:val="0"/>
        <w:pageBreakBefore w:val="0"/>
        <w:widowControl/>
        <w:kinsoku/>
        <w:wordWrap/>
        <w:overflowPunct/>
        <w:topLinePunct w:val="0"/>
        <w:autoSpaceDN/>
        <w:bidi w:val="0"/>
        <w:adjustRightInd/>
        <w:spacing w:line="578" w:lineRule="exact"/>
        <w:ind w:firstLine="640" w:firstLineChars="200"/>
        <w:textAlignment w:val="auto"/>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（9）</w:t>
      </w:r>
      <w:r>
        <w:rPr>
          <w:rFonts w:hint="default" w:ascii="Times New Roman" w:hAnsi="Times New Roman" w:eastAsia="方正仿宋_GBK" w:cs="Times New Roman"/>
          <w:color w:val="000000" w:themeColor="text1"/>
          <w:sz w:val="32"/>
          <w:szCs w:val="32"/>
          <w14:textFill>
            <w14:solidFill>
              <w14:schemeClr w14:val="tx1"/>
            </w14:solidFill>
          </w14:textFill>
        </w:rPr>
        <w:t>住房保障支出71.16</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万元，占</w:t>
      </w:r>
      <w:r>
        <w:rPr>
          <w:rFonts w:hint="default" w:ascii="Times New Roman" w:hAnsi="Times New Roman" w:eastAsia="方正仿宋_GBK" w:cs="Times New Roman"/>
          <w:color w:val="000000" w:themeColor="text1"/>
          <w:sz w:val="32"/>
          <w:szCs w:val="32"/>
          <w14:textFill>
            <w14:solidFill>
              <w14:schemeClr w14:val="tx1"/>
            </w14:solidFill>
          </w14:textFill>
        </w:rPr>
        <w:t>2.19</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%，较年初预算数增加18.25万元，增长34.5%，主要原因是提高职工住房补贴标准，且新增符合住房保障条件人员，导致住房保障支出增长</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10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灾害防治及应急管理支出35.65</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万元，占</w:t>
      </w:r>
      <w:r>
        <w:rPr>
          <w:rFonts w:hint="default" w:ascii="Times New Roman" w:hAnsi="Times New Roman" w:eastAsia="方正仿宋_GBK" w:cs="Times New Roman"/>
          <w:color w:val="000000" w:themeColor="text1"/>
          <w:sz w:val="32"/>
          <w:szCs w:val="32"/>
          <w14:textFill>
            <w14:solidFill>
              <w14:schemeClr w14:val="tx1"/>
            </w14:solidFill>
          </w14:textFill>
        </w:rPr>
        <w:t>1.10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%，较年初预算数增加35.65万元，增长100.0%，主要原因是</w:t>
      </w:r>
      <w:r>
        <w:rPr>
          <w:rFonts w:hint="eastAsia"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本年加大了灾害防治力度，增加了相关灾后重建项目，如巫溪县2024年土城镇农村公路灾后重建项目和巫溪县2024年土城镇疏浚保安项目等。</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pPr>
      <w:r>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t>（四）一般公共预算财政拨款基本支出决算情况说明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 </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2024年</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度一般公共财政拨款基本支出</w:t>
      </w:r>
      <w:r>
        <w:rPr>
          <w:rFonts w:hint="default" w:ascii="Times New Roman" w:hAnsi="Times New Roman" w:eastAsia="方正仿宋_GBK" w:cs="Times New Roman"/>
          <w:color w:val="000000" w:themeColor="text1"/>
          <w:sz w:val="32"/>
          <w:szCs w:val="32"/>
          <w14:textFill>
            <w14:solidFill>
              <w14:schemeClr w14:val="tx1"/>
            </w14:solidFill>
          </w14:textFill>
        </w:rPr>
        <w:t>866.75</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万元。其中：人员经费</w:t>
      </w:r>
      <w:r>
        <w:rPr>
          <w:rFonts w:hint="default" w:ascii="Times New Roman" w:hAnsi="Times New Roman" w:eastAsia="方正仿宋_GBK" w:cs="Times New Roman"/>
          <w:color w:val="000000" w:themeColor="text1"/>
          <w:sz w:val="32"/>
          <w:szCs w:val="32"/>
          <w14:textFill>
            <w14:solidFill>
              <w14:schemeClr w14:val="tx1"/>
            </w14:solidFill>
          </w14:textFill>
        </w:rPr>
        <w:t>741.55</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与2023年度相比，减少11.45万元，下降1.5%，主要原因是严格落实财政过紧日子要求，优化人员经费配置，对部分津补贴发放进行规范调整使得人员经费支出相应下降。人员经费用途主要包括工资福利支出及对个人和家庭的补助等。公用经费</w:t>
      </w:r>
      <w:r>
        <w:rPr>
          <w:rFonts w:hint="default" w:ascii="Times New Roman" w:hAnsi="Times New Roman" w:eastAsia="方正仿宋_GBK" w:cs="Times New Roman"/>
          <w:color w:val="000000" w:themeColor="text1"/>
          <w:sz w:val="32"/>
          <w:szCs w:val="32"/>
          <w14:textFill>
            <w14:solidFill>
              <w14:schemeClr w14:val="tx1"/>
            </w14:solidFill>
          </w14:textFill>
        </w:rPr>
        <w:t>125.20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万元，与2023年度相比，增加5.60万元，增长4.7%，主要原因是业务量增长，增加了办公设备购置、办公用品消耗，导致公用经费上升。公用经费用途主要包括办公费、交通费用等。</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pPr>
      <w:r>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t>（五）政府性基金预算收支决算情况说明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本部门2024年度无政府性基金预算财政拨款收支。本年收入</w:t>
      </w:r>
      <w:r>
        <w:rPr>
          <w:rFonts w:hint="default" w:ascii="Times New Roman" w:hAnsi="Times New Roman" w:eastAsia="方正仿宋_GBK" w:cs="Times New Roman"/>
          <w:color w:val="000000" w:themeColor="text1"/>
          <w:sz w:val="32"/>
          <w:szCs w:val="32"/>
          <w14:textFill>
            <w14:solidFill>
              <w14:schemeClr w14:val="tx1"/>
            </w14:solidFill>
          </w14:textFill>
        </w:rPr>
        <w:t>12.92</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万元，与2023年度相比，增加12.92万元，增长100.0%，主要原因是</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无上年决算数据，增加数为全年决算数</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。本年支出</w:t>
      </w:r>
      <w:r>
        <w:rPr>
          <w:rFonts w:hint="default" w:ascii="Times New Roman" w:hAnsi="Times New Roman" w:eastAsia="方正仿宋_GBK" w:cs="Times New Roman"/>
          <w:color w:val="000000" w:themeColor="text1"/>
          <w:sz w:val="32"/>
          <w:szCs w:val="32"/>
          <w14:textFill>
            <w14:solidFill>
              <w14:schemeClr w14:val="tx1"/>
            </w14:solidFill>
          </w14:textFill>
        </w:rPr>
        <w:t>12.92</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万元，与2023年度相比，增加12.92万元，增长100.0%，主要原因是上年无该项目类支出</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且今年</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新</w:t>
      </w:r>
      <w:bookmarkStart w:id="0" w:name="_GoBack"/>
      <w:bookmarkEnd w:id="0"/>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增用于社会福利的彩票公益金支出</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pPr>
      <w:r>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t>（六）国有资本经营预算财政拨款支出决算情况说明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本部门2024年度无国有资本经营预算财政拨款支出。</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Style w:val="8"/>
          <w:rFonts w:hint="default" w:ascii="Times New Roman" w:hAnsi="Times New Roman" w:eastAsia="黑体" w:cs="Times New Roman"/>
          <w:color w:val="000000" w:themeColor="text1"/>
          <w:sz w:val="32"/>
          <w:szCs w:val="32"/>
          <w:shd w:val="clear" w:color="auto" w:fill="FFFFFF"/>
          <w14:textFill>
            <w14:solidFill>
              <w14:schemeClr w14:val="tx1"/>
            </w14:solidFill>
          </w14:textFill>
        </w:rPr>
        <w:t>三、</w:t>
      </w:r>
      <w:r>
        <w:rPr>
          <w:rStyle w:val="8"/>
          <w:rFonts w:hint="default" w:ascii="Times New Roman" w:hAnsi="Times New Roman" w:eastAsia="黑体" w:cs="Times New Roman"/>
          <w:color w:val="000000" w:themeColor="text1"/>
          <w:sz w:val="32"/>
          <w:szCs w:val="32"/>
          <w:shd w:val="clear" w:color="auto" w:fill="FFFFFF"/>
          <w:lang w:eastAsia="zh-CN"/>
          <w14:textFill>
            <w14:solidFill>
              <w14:schemeClr w14:val="tx1"/>
            </w14:solidFill>
          </w14:textFill>
        </w:rPr>
        <w:t>财政拨款</w:t>
      </w:r>
      <w:r>
        <w:rPr>
          <w:rStyle w:val="8"/>
          <w:rFonts w:hint="default" w:ascii="Times New Roman" w:hAnsi="Times New Roman" w:eastAsia="黑体" w:cs="Times New Roman"/>
          <w:color w:val="000000" w:themeColor="text1"/>
          <w:sz w:val="32"/>
          <w:szCs w:val="32"/>
          <w:shd w:val="clear" w:color="auto" w:fill="FFFFFF"/>
          <w14:textFill>
            <w14:solidFill>
              <w14:schemeClr w14:val="tx1"/>
            </w14:solidFill>
          </w14:textFill>
        </w:rPr>
        <w:t>“三公”经费情况说明</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pPr>
      <w:r>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t xml:space="preserve"> （一）“三公”经费支出总体情况说明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2024年</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度“三公”经费支出共计</w:t>
      </w:r>
      <w:r>
        <w:rPr>
          <w:rFonts w:hint="default" w:ascii="Times New Roman" w:hAnsi="Times New Roman" w:eastAsia="方正仿宋_GBK" w:cs="Times New Roman"/>
          <w:color w:val="000000" w:themeColor="text1"/>
          <w:sz w:val="32"/>
          <w:szCs w:val="32"/>
          <w14:textFill>
            <w14:solidFill>
              <w14:schemeClr w14:val="tx1"/>
            </w14:solidFill>
          </w14:textFill>
        </w:rPr>
        <w:t>8.30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万元，较年初预算数减少1.70万元，下降17.0%，主要原因是强化“三公”经费预算编制审核，设定严格支出上限，执行中严格审批，杜绝超预算支出。较上年支出数减少0.44万元，下降5.0%，主要原因是优化</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了</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公务接待</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规范接待流程和标准，减少非必要接待，控制陪餐人数和接待规格，节省费用。</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pPr>
      <w:r>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t>（二）“三公”经费分项支出情况</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2024年</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度本部门因公出国（境）费用</w:t>
      </w:r>
      <w:r>
        <w:rPr>
          <w:rFonts w:hint="default" w:ascii="Times New Roman" w:hAnsi="Times New Roman" w:eastAsia="方正仿宋_GBK" w:cs="Times New Roman"/>
          <w:color w:val="000000" w:themeColor="text1"/>
          <w:sz w:val="32"/>
          <w:szCs w:val="32"/>
          <w14:textFill>
            <w14:solidFill>
              <w14:schemeClr w14:val="tx1"/>
            </w14:solidFill>
          </w14:textFill>
        </w:rPr>
        <w:t>0.00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万元。费用支出较年初预算数无增减。与2023年度相比，无增减</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 公务车购置费</w:t>
      </w:r>
      <w:r>
        <w:rPr>
          <w:rFonts w:hint="default" w:ascii="Times New Roman" w:hAnsi="Times New Roman" w:eastAsia="方正仿宋_GBK" w:cs="Times New Roman"/>
          <w:color w:val="000000" w:themeColor="text1"/>
          <w:sz w:val="32"/>
          <w:szCs w:val="32"/>
          <w14:textFill>
            <w14:solidFill>
              <w14:schemeClr w14:val="tx1"/>
            </w14:solidFill>
          </w14:textFill>
        </w:rPr>
        <w:t>0.00</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费用支出较年初预算数无增减。与2023年度相比，无增减</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pP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 公务车运行维护费5.30万元，主要用于公务用车的保险、维修费等。费用支出较年初预算数减少1.70万元，下降24.3%，主要原因是严格车辆使用审批，优化出行安排，减少不必要的出车，同时强化维修保养管理，降低维修成本。较上年支出数减少1.44万元，下降21.4%，主要原因是推行公务用车共享机制，提高车辆使用效率，且通过集中采购保险等服务，降低费用支出。</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pP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公务接待费3.00万元，主要用于接待主要用于接待上级部门调研指导等公务活动。费用支出较年初预算数无增减。较上年支出数增加1.00万元，增长50.0%，主要原因是本年度业务交流活动增多，接待上级检查督导及外部考察团组次数增加，导致接待费用上升。</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pPr>
      <w:r>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t>（三）“三公”经费实物量情况</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 </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2024年</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度本部门因公出国（境）共计</w:t>
      </w:r>
      <w:r>
        <w:rPr>
          <w:rFonts w:hint="default" w:ascii="Times New Roman" w:hAnsi="Times New Roman" w:eastAsia="方正仿宋_GBK" w:cs="Times New Roman"/>
          <w:color w:val="000000" w:themeColor="text1"/>
          <w:sz w:val="32"/>
          <w:szCs w:val="32"/>
          <w14:textFill>
            <w14:solidFill>
              <w14:schemeClr w14:val="tx1"/>
            </w14:solidFill>
          </w14:textFill>
        </w:rPr>
        <w:t>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个团组，</w:t>
      </w:r>
      <w:r>
        <w:rPr>
          <w:rFonts w:hint="default" w:ascii="Times New Roman" w:hAnsi="Times New Roman" w:eastAsia="方正仿宋_GBK" w:cs="Times New Roman"/>
          <w:color w:val="000000" w:themeColor="text1"/>
          <w:sz w:val="32"/>
          <w:szCs w:val="32"/>
          <w14:textFill>
            <w14:solidFill>
              <w14:schemeClr w14:val="tx1"/>
            </w14:solidFill>
          </w14:textFill>
        </w:rPr>
        <w:t>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人；公务用车购置</w:t>
      </w:r>
      <w:r>
        <w:rPr>
          <w:rFonts w:hint="default" w:ascii="Times New Roman" w:hAnsi="Times New Roman" w:eastAsia="方正仿宋_GBK" w:cs="Times New Roman"/>
          <w:color w:val="000000" w:themeColor="text1"/>
          <w:sz w:val="32"/>
          <w:szCs w:val="32"/>
          <w14:textFill>
            <w14:solidFill>
              <w14:schemeClr w14:val="tx1"/>
            </w14:solidFill>
          </w14:textFill>
        </w:rPr>
        <w:t>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辆，公务车保有量为</w:t>
      </w:r>
      <w:r>
        <w:rPr>
          <w:rFonts w:hint="default" w:ascii="Times New Roman" w:hAnsi="Times New Roman" w:eastAsia="方正仿宋_GBK" w:cs="Times New Roman"/>
          <w:color w:val="000000" w:themeColor="text1"/>
          <w:sz w:val="32"/>
          <w:szCs w:val="32"/>
          <w14:textFill>
            <w14:solidFill>
              <w14:schemeClr w14:val="tx1"/>
            </w14:solidFill>
          </w14:textFill>
        </w:rPr>
        <w:t>2</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辆；国内公务接待</w:t>
      </w:r>
      <w:r>
        <w:rPr>
          <w:rFonts w:hint="default" w:ascii="Times New Roman" w:hAnsi="Times New Roman" w:eastAsia="方正仿宋_GBK" w:cs="Times New Roman"/>
          <w:color w:val="000000" w:themeColor="text1"/>
          <w:sz w:val="32"/>
          <w:szCs w:val="32"/>
          <w14:textFill>
            <w14:solidFill>
              <w14:schemeClr w14:val="tx1"/>
            </w14:solidFill>
          </w14:textFill>
        </w:rPr>
        <w:t>15</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批次</w:t>
      </w:r>
      <w:r>
        <w:rPr>
          <w:rFonts w:hint="default" w:ascii="Times New Roman" w:hAnsi="Times New Roman" w:eastAsia="方正仿宋_GBK" w:cs="Times New Roman"/>
          <w:color w:val="000000" w:themeColor="text1"/>
          <w:sz w:val="32"/>
          <w:szCs w:val="32"/>
          <w14:textFill>
            <w14:solidFill>
              <w14:schemeClr w14:val="tx1"/>
            </w14:solidFill>
          </w14:textFill>
        </w:rPr>
        <w:t>160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人，其中：国内外事接待</w:t>
      </w:r>
      <w:r>
        <w:rPr>
          <w:rFonts w:hint="default" w:ascii="Times New Roman" w:hAnsi="Times New Roman" w:eastAsia="方正仿宋_GBK" w:cs="Times New Roman"/>
          <w:color w:val="000000" w:themeColor="text1"/>
          <w:sz w:val="32"/>
          <w:szCs w:val="32"/>
          <w14:textFill>
            <w14:solidFill>
              <w14:schemeClr w14:val="tx1"/>
            </w14:solidFill>
          </w14:textFill>
        </w:rPr>
        <w:t>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批次，</w:t>
      </w:r>
      <w:r>
        <w:rPr>
          <w:rFonts w:hint="default" w:ascii="Times New Roman" w:hAnsi="Times New Roman" w:eastAsia="方正仿宋_GBK" w:cs="Times New Roman"/>
          <w:color w:val="000000" w:themeColor="text1"/>
          <w:sz w:val="32"/>
          <w:szCs w:val="32"/>
          <w14:textFill>
            <w14:solidFill>
              <w14:schemeClr w14:val="tx1"/>
            </w14:solidFill>
          </w14:textFill>
        </w:rPr>
        <w:t>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人；国（境）外公务接待</w:t>
      </w:r>
      <w:r>
        <w:rPr>
          <w:rFonts w:hint="default" w:ascii="Times New Roman" w:hAnsi="Times New Roman" w:eastAsia="方正仿宋_GBK" w:cs="Times New Roman"/>
          <w:color w:val="000000" w:themeColor="text1"/>
          <w:sz w:val="32"/>
          <w:szCs w:val="32"/>
          <w14:textFill>
            <w14:solidFill>
              <w14:schemeClr w14:val="tx1"/>
            </w14:solidFill>
          </w14:textFill>
        </w:rPr>
        <w:t>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批次，</w:t>
      </w:r>
      <w:r>
        <w:rPr>
          <w:rFonts w:hint="default" w:ascii="Times New Roman" w:hAnsi="Times New Roman" w:eastAsia="方正仿宋_GBK" w:cs="Times New Roman"/>
          <w:color w:val="000000" w:themeColor="text1"/>
          <w:sz w:val="32"/>
          <w:szCs w:val="32"/>
          <w14:textFill>
            <w14:solidFill>
              <w14:schemeClr w14:val="tx1"/>
            </w14:solidFill>
          </w14:textFill>
        </w:rPr>
        <w:t>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人。</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2024年</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本部门人均接待费</w:t>
      </w:r>
      <w:r>
        <w:rPr>
          <w:rFonts w:hint="default" w:ascii="Times New Roman" w:hAnsi="Times New Roman" w:eastAsia="方正仿宋_GBK" w:cs="Times New Roman"/>
          <w:color w:val="000000" w:themeColor="text1"/>
          <w:sz w:val="32"/>
          <w:szCs w:val="32"/>
          <w14:textFill>
            <w14:solidFill>
              <w14:schemeClr w14:val="tx1"/>
            </w14:solidFill>
          </w14:textFill>
        </w:rPr>
        <w:t>187.50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元，车均购置费</w:t>
      </w:r>
      <w:r>
        <w:rPr>
          <w:rFonts w:hint="default" w:ascii="Times New Roman" w:hAnsi="Times New Roman" w:eastAsia="方正仿宋_GBK" w:cs="Times New Roman"/>
          <w:color w:val="000000" w:themeColor="text1"/>
          <w:sz w:val="32"/>
          <w:szCs w:val="32"/>
          <w14:textFill>
            <w14:solidFill>
              <w14:schemeClr w14:val="tx1"/>
            </w14:solidFill>
          </w14:textFill>
        </w:rPr>
        <w:t>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万元，车均维护费</w:t>
      </w:r>
      <w:r>
        <w:rPr>
          <w:rFonts w:hint="default" w:ascii="Times New Roman" w:hAnsi="Times New Roman" w:eastAsia="方正仿宋_GBK" w:cs="Times New Roman"/>
          <w:color w:val="000000" w:themeColor="text1"/>
          <w:sz w:val="32"/>
          <w:szCs w:val="32"/>
          <w14:textFill>
            <w14:solidFill>
              <w14:schemeClr w14:val="tx1"/>
            </w14:solidFill>
          </w14:textFill>
        </w:rPr>
        <w:t>2.65</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w:t>
      </w:r>
    </w:p>
    <w:p>
      <w:pPr>
        <w:pStyle w:val="5"/>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78" w:lineRule="exact"/>
        <w:ind w:firstLine="642" w:firstLineChars="200"/>
        <w:textAlignment w:val="auto"/>
        <w:rPr>
          <w:rStyle w:val="8"/>
          <w:rFonts w:hint="default" w:ascii="Times New Roman" w:hAnsi="Times New Roman" w:eastAsia="黑体" w:cs="Times New Roman"/>
          <w:color w:val="000000" w:themeColor="text1"/>
          <w:sz w:val="32"/>
          <w:szCs w:val="32"/>
          <w:shd w:val="clear" w:color="auto" w:fill="FFFFFF"/>
          <w14:textFill>
            <w14:solidFill>
              <w14:schemeClr w14:val="tx1"/>
            </w14:solidFill>
          </w14:textFill>
        </w:rPr>
      </w:pPr>
      <w:r>
        <w:rPr>
          <w:rStyle w:val="8"/>
          <w:rFonts w:hint="default" w:ascii="Times New Roman" w:hAnsi="Times New Roman" w:eastAsia="黑体" w:cs="Times New Roman"/>
          <w:color w:val="000000" w:themeColor="text1"/>
          <w:sz w:val="32"/>
          <w:szCs w:val="32"/>
          <w:shd w:val="clear" w:color="auto" w:fill="FFFFFF"/>
          <w14:textFill>
            <w14:solidFill>
              <w14:schemeClr w14:val="tx1"/>
            </w14:solidFill>
          </w14:textFill>
        </w:rPr>
        <w:t>四、其他需要说明的事项</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pPr>
      <w:r>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t>（一）财政拨款会议费和培训费情况说明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本年度会议费支出7.29万元，与2023年度相比，减少3.01万元，下降29.2%，主要原因是优化了会议形式和内容。本年度培训费支出0.00万元，与2023年度相比，减少0.10万元，下降100.0%，主要原因是创新了培训方式。</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pPr>
      <w:r>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t>（二）机关运行经费情况说明</w:t>
      </w:r>
    </w:p>
    <w:p>
      <w:pPr>
        <w:pStyle w:val="5"/>
        <w:keepNext w:val="0"/>
        <w:keepLines w:val="0"/>
        <w:pageBreakBefore w:val="0"/>
        <w:widowControl/>
        <w:kinsoku/>
        <w:wordWrap/>
        <w:overflowPunct/>
        <w:topLinePunct w:val="0"/>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2024年度本单位机关运行经费支出96.09万元，机关运行经费主要用于开支办公费、水电费、邮电费等。机关运行经费较上年支出数增加7.56万元，增长8.5%，主要原因是办公需求提升，业务拓展导致办公用品消耗加快，且新增部分办公设备，使得办公费和维修（护）费增加。</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pPr>
      <w:r>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t>（三）国有资产占用情况说明</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截至</w:t>
      </w: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2024年</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12月31日，本部门共有车辆</w:t>
      </w:r>
      <w:r>
        <w:rPr>
          <w:rFonts w:hint="default" w:ascii="Times New Roman" w:hAnsi="Times New Roman" w:eastAsia="方正仿宋_GBK" w:cs="Times New Roman"/>
          <w:color w:val="000000" w:themeColor="text1"/>
          <w:sz w:val="32"/>
          <w:szCs w:val="32"/>
          <w14:textFill>
            <w14:solidFill>
              <w14:schemeClr w14:val="tx1"/>
            </w14:solidFill>
          </w14:textFill>
        </w:rPr>
        <w:t>2</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辆，其中，副部（省）级及以上领导用车</w:t>
      </w:r>
      <w:r>
        <w:rPr>
          <w:rFonts w:hint="default" w:ascii="Times New Roman" w:hAnsi="Times New Roman" w:eastAsia="方正仿宋_GBK" w:cs="Times New Roman"/>
          <w:color w:val="000000" w:themeColor="text1"/>
          <w:sz w:val="32"/>
          <w:szCs w:val="32"/>
          <w14:textFill>
            <w14:solidFill>
              <w14:schemeClr w14:val="tx1"/>
            </w14:solidFill>
          </w14:textFill>
        </w:rPr>
        <w:t>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辆、主要负责人用车</w:t>
      </w:r>
      <w:r>
        <w:rPr>
          <w:rFonts w:hint="default" w:ascii="Times New Roman" w:hAnsi="Times New Roman" w:eastAsia="方正仿宋_GBK" w:cs="Times New Roman"/>
          <w:color w:val="000000" w:themeColor="text1"/>
          <w:sz w:val="32"/>
          <w:szCs w:val="32"/>
          <w14:textFill>
            <w14:solidFill>
              <w14:schemeClr w14:val="tx1"/>
            </w14:solidFill>
          </w14:textFill>
        </w:rPr>
        <w:t>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辆、机要通信用车</w:t>
      </w:r>
      <w:r>
        <w:rPr>
          <w:rFonts w:hint="default" w:ascii="Times New Roman" w:hAnsi="Times New Roman" w:eastAsia="方正仿宋_GBK" w:cs="Times New Roman"/>
          <w:color w:val="000000" w:themeColor="text1"/>
          <w:sz w:val="32"/>
          <w:szCs w:val="32"/>
          <w14:textFill>
            <w14:solidFill>
              <w14:schemeClr w14:val="tx1"/>
            </w14:solidFill>
          </w14:textFill>
        </w:rPr>
        <w:t>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辆、应急保障用车</w:t>
      </w:r>
      <w:r>
        <w:rPr>
          <w:rFonts w:hint="default" w:ascii="Times New Roman" w:hAnsi="Times New Roman" w:eastAsia="方正仿宋_GBK" w:cs="Times New Roman"/>
          <w:color w:val="000000" w:themeColor="text1"/>
          <w:sz w:val="32"/>
          <w:szCs w:val="32"/>
          <w14:textFill>
            <w14:solidFill>
              <w14:schemeClr w14:val="tx1"/>
            </w14:solidFill>
          </w14:textFill>
        </w:rPr>
        <w:t>2</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辆、执法执勤用车</w:t>
      </w:r>
      <w:r>
        <w:rPr>
          <w:rFonts w:hint="default" w:ascii="Times New Roman" w:hAnsi="Times New Roman" w:eastAsia="方正仿宋_GBK" w:cs="Times New Roman"/>
          <w:color w:val="000000" w:themeColor="text1"/>
          <w:sz w:val="32"/>
          <w:szCs w:val="32"/>
          <w14:textFill>
            <w14:solidFill>
              <w14:schemeClr w14:val="tx1"/>
            </w14:solidFill>
          </w14:textFill>
        </w:rPr>
        <w:t>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辆，特种专业技术用车</w:t>
      </w:r>
      <w:r>
        <w:rPr>
          <w:rFonts w:hint="default" w:ascii="Times New Roman" w:hAnsi="Times New Roman" w:eastAsia="方正仿宋_GBK" w:cs="Times New Roman"/>
          <w:color w:val="000000" w:themeColor="text1"/>
          <w:sz w:val="32"/>
          <w:szCs w:val="32"/>
          <w14:textFill>
            <w14:solidFill>
              <w14:schemeClr w14:val="tx1"/>
            </w14:solidFill>
          </w14:textFill>
        </w:rPr>
        <w:t>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辆，离退休干部用车</w:t>
      </w:r>
      <w:r>
        <w:rPr>
          <w:rFonts w:hint="default" w:ascii="Times New Roman" w:hAnsi="Times New Roman" w:eastAsia="方正仿宋_GBK" w:cs="Times New Roman"/>
          <w:color w:val="000000" w:themeColor="text1"/>
          <w:sz w:val="32"/>
          <w:szCs w:val="32"/>
          <w14:textFill>
            <w14:solidFill>
              <w14:schemeClr w14:val="tx1"/>
            </w14:solidFill>
          </w14:textFill>
        </w:rPr>
        <w:t>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辆。单价100万元（含）以上专用设备</w:t>
      </w:r>
      <w:r>
        <w:rPr>
          <w:rFonts w:hint="default" w:ascii="Times New Roman" w:hAnsi="Times New Roman" w:eastAsia="方正仿宋_GBK" w:cs="Times New Roman"/>
          <w:color w:val="000000" w:themeColor="text1"/>
          <w:sz w:val="32"/>
          <w:szCs w:val="32"/>
          <w14:textFill>
            <w14:solidFill>
              <w14:schemeClr w14:val="tx1"/>
            </w14:solidFill>
          </w14:textFill>
        </w:rPr>
        <w:t>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台（套）。</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pPr>
      <w:r>
        <w:rPr>
          <w:rFonts w:hint="default" w:ascii="Times New Roman" w:hAnsi="Times New Roman" w:eastAsia="楷体" w:cs="Times New Roman"/>
          <w:b/>
          <w:bCs/>
          <w:color w:val="000000" w:themeColor="text1"/>
          <w:sz w:val="32"/>
          <w:szCs w:val="32"/>
          <w:shd w:val="clear" w:color="auto" w:fill="FFFFFF"/>
          <w14:textFill>
            <w14:solidFill>
              <w14:schemeClr w14:val="tx1"/>
            </w14:solidFill>
          </w14:textFill>
        </w:rPr>
        <w:t>（四）政府采购支出情况说明</w:t>
      </w:r>
    </w:p>
    <w:p>
      <w:pPr>
        <w:pStyle w:val="5"/>
        <w:keepNext w:val="0"/>
        <w:keepLines w:val="0"/>
        <w:pageBreakBefore w:val="0"/>
        <w:widowControl/>
        <w:kinsoku/>
        <w:wordWrap/>
        <w:overflowPunct/>
        <w:topLinePunct w:val="0"/>
        <w:autoSpaceDE/>
        <w:autoSpaceDN/>
        <w:bidi w:val="0"/>
        <w:adjustRightInd/>
        <w:snapToGrid w:val="0"/>
        <w:spacing w:before="0" w:beforeAutospacing="0" w:after="0" w:afterAutospacing="0" w:line="578" w:lineRule="exact"/>
        <w:ind w:firstLine="640" w:firstLineChars="200"/>
        <w:jc w:val="both"/>
        <w:textAlignment w:val="auto"/>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r>
        <w:rPr>
          <w:rFonts w:hint="default" w:ascii="Times New Roman" w:hAnsi="Times New Roman" w:eastAsia="方正仿宋_GBK" w:cs="Times New Roman"/>
          <w:color w:val="000000" w:themeColor="text1"/>
          <w:sz w:val="32"/>
          <w:szCs w:val="32"/>
          <w:shd w:val="clear" w:color="auto" w:fill="FFFFFF"/>
          <w:lang w:eastAsia="zh-CN"/>
          <w14:textFill>
            <w14:solidFill>
              <w14:schemeClr w14:val="tx1"/>
            </w14:solidFill>
          </w14:textFill>
        </w:rPr>
        <w:t>2024年</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度本部门政府采购支出总额</w:t>
      </w:r>
      <w:r>
        <w:rPr>
          <w:rFonts w:hint="default" w:ascii="Times New Roman" w:hAnsi="Times New Roman" w:eastAsia="方正仿宋_GBK" w:cs="Times New Roman"/>
          <w:color w:val="000000" w:themeColor="text1"/>
          <w:sz w:val="32"/>
          <w:szCs w:val="32"/>
          <w14:textFill>
            <w14:solidFill>
              <w14:schemeClr w14:val="tx1"/>
            </w14:solidFill>
          </w14:textFill>
        </w:rPr>
        <w:t>951.97</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万元，其中：政府采购货物支出</w:t>
      </w:r>
      <w:r>
        <w:rPr>
          <w:rFonts w:hint="default" w:ascii="Times New Roman" w:hAnsi="Times New Roman" w:eastAsia="方正仿宋_GBK" w:cs="Times New Roman"/>
          <w:color w:val="000000" w:themeColor="text1"/>
          <w:sz w:val="32"/>
          <w:szCs w:val="32"/>
          <w14:textFill>
            <w14:solidFill>
              <w14:schemeClr w14:val="tx1"/>
            </w14:solidFill>
          </w14:textFill>
        </w:rPr>
        <w:t>0.00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万元、政府采购工程支出</w:t>
      </w:r>
      <w:r>
        <w:rPr>
          <w:rFonts w:hint="default" w:ascii="Times New Roman" w:hAnsi="Times New Roman" w:eastAsia="方正仿宋_GBK" w:cs="Times New Roman"/>
          <w:color w:val="000000" w:themeColor="text1"/>
          <w:sz w:val="32"/>
          <w:szCs w:val="32"/>
          <w14:textFill>
            <w14:solidFill>
              <w14:schemeClr w14:val="tx1"/>
            </w14:solidFill>
          </w14:textFill>
        </w:rPr>
        <w:t>951.97</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万元、政府采购服务支出</w:t>
      </w:r>
      <w:r>
        <w:rPr>
          <w:rFonts w:hint="default" w:ascii="Times New Roman" w:hAnsi="Times New Roman" w:eastAsia="方正仿宋_GBK" w:cs="Times New Roman"/>
          <w:color w:val="000000" w:themeColor="text1"/>
          <w:sz w:val="32"/>
          <w:szCs w:val="32"/>
          <w14:textFill>
            <w14:solidFill>
              <w14:schemeClr w14:val="tx1"/>
            </w14:solidFill>
          </w14:textFill>
        </w:rPr>
        <w:t>0.00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万元。授予中小企业合同金额</w:t>
      </w:r>
      <w:r>
        <w:rPr>
          <w:rFonts w:hint="default" w:ascii="Times New Roman" w:hAnsi="Times New Roman" w:eastAsia="方正仿宋_GBK" w:cs="Times New Roman"/>
          <w:color w:val="000000" w:themeColor="text1"/>
          <w:sz w:val="32"/>
          <w:szCs w:val="32"/>
          <w14:textFill>
            <w14:solidFill>
              <w14:schemeClr w14:val="tx1"/>
            </w14:solidFill>
          </w14:textFill>
        </w:rPr>
        <w:t>951.97万</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元，占政府采购支出总额的</w:t>
      </w:r>
      <w:r>
        <w:rPr>
          <w:rFonts w:hint="default" w:ascii="Times New Roman" w:hAnsi="Times New Roman" w:eastAsia="方正仿宋_GBK" w:cs="Times New Roman"/>
          <w:color w:val="000000" w:themeColor="text1"/>
          <w:sz w:val="32"/>
          <w:szCs w:val="32"/>
          <w14:textFill>
            <w14:solidFill>
              <w14:schemeClr w14:val="tx1"/>
            </w14:solidFill>
          </w14:textFill>
        </w:rPr>
        <w:t>100.00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%，其中：授予小微企业合同金额</w:t>
      </w:r>
      <w:r>
        <w:rPr>
          <w:rFonts w:hint="default" w:ascii="Times New Roman" w:hAnsi="Times New Roman" w:eastAsia="方正仿宋_GBK" w:cs="Times New Roman"/>
          <w:color w:val="000000" w:themeColor="text1"/>
          <w:sz w:val="32"/>
          <w:szCs w:val="32"/>
          <w14:textFill>
            <w14:solidFill>
              <w14:schemeClr w14:val="tx1"/>
            </w14:solidFill>
          </w14:textFill>
        </w:rPr>
        <w:t>0.00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万元，占政府采购支出总额的</w:t>
      </w:r>
      <w:r>
        <w:rPr>
          <w:rFonts w:hint="default" w:ascii="Times New Roman" w:hAnsi="Times New Roman" w:eastAsia="方正仿宋_GBK" w:cs="Times New Roman"/>
          <w:color w:val="000000" w:themeColor="text1"/>
          <w:sz w:val="32"/>
          <w:szCs w:val="32"/>
          <w14:textFill>
            <w14:solidFill>
              <w14:schemeClr w14:val="tx1"/>
            </w14:solidFill>
          </w14:textFill>
        </w:rPr>
        <w:t>0.00</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 xml:space="preserve"> %。主要用于采购</w:t>
      </w:r>
      <w:r>
        <w:rPr>
          <w:rFonts w:hint="default" w:ascii="Times New Roman" w:hAnsi="Times New Roman" w:eastAsia="方正仿宋_GBK" w:cs="Times New Roman"/>
          <w:color w:val="000000" w:themeColor="text1"/>
          <w:sz w:val="32"/>
          <w:szCs w:val="32"/>
          <w:shd w:val="clear" w:color="auto" w:fill="FFFFFF"/>
          <w:lang w:val="en-US" w:eastAsia="zh-CN"/>
          <w14:textFill>
            <w14:solidFill>
              <w14:schemeClr w14:val="tx1"/>
            </w14:solidFill>
          </w14:textFill>
        </w:rPr>
        <w:t>办公用品、项目类建设所需材料等</w:t>
      </w:r>
      <w:r>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t>。</w:t>
      </w:r>
    </w:p>
    <w:p>
      <w:pPr>
        <w:pStyle w:val="10"/>
        <w:keepNext w:val="0"/>
        <w:keepLines w:val="0"/>
        <w:pageBreakBefore w:val="0"/>
        <w:widowControl/>
        <w:kinsoku/>
        <w:wordWrap/>
        <w:overflowPunct/>
        <w:topLinePunct w:val="0"/>
        <w:autoSpaceDE/>
        <w:autoSpaceDN/>
        <w:bidi w:val="0"/>
        <w:adjustRightInd/>
        <w:snapToGrid/>
        <w:spacing w:before="0" w:beforeAutospacing="0" w:after="0" w:afterAutospacing="0" w:line="578" w:lineRule="exact"/>
        <w:ind w:firstLine="642" w:firstLineChars="200"/>
        <w:textAlignment w:val="auto"/>
        <w:rPr>
          <w:rStyle w:val="8"/>
          <w:rFonts w:hint="default" w:ascii="Times New Roman" w:hAnsi="Times New Roman" w:eastAsia="黑体" w:cs="Times New Roman"/>
          <w:color w:val="000000" w:themeColor="text1"/>
          <w:sz w:val="32"/>
          <w:szCs w:val="32"/>
          <w:shd w:val="clear" w:color="auto" w:fill="FFFFFF"/>
          <w:lang w:val="en-US" w:eastAsia="zh-CN" w:bidi="ar-SA"/>
          <w14:textFill>
            <w14:solidFill>
              <w14:schemeClr w14:val="tx1"/>
            </w14:solidFill>
          </w14:textFill>
        </w:rPr>
      </w:pPr>
      <w:r>
        <w:rPr>
          <w:rStyle w:val="8"/>
          <w:rFonts w:hint="default" w:ascii="Times New Roman" w:hAnsi="Times New Roman" w:eastAsia="黑体" w:cs="Times New Roman"/>
          <w:color w:val="000000" w:themeColor="text1"/>
          <w:sz w:val="32"/>
          <w:szCs w:val="32"/>
          <w:shd w:val="clear" w:color="auto" w:fill="FFFFFF"/>
          <w:lang w:val="en-US" w:eastAsia="zh-CN" w:bidi="ar-SA"/>
          <w14:textFill>
            <w14:solidFill>
              <w14:schemeClr w14:val="tx1"/>
            </w14:solidFill>
          </w14:textFill>
        </w:rPr>
        <w:t>五、2024年度预算绩效管理情况说明</w:t>
      </w:r>
    </w:p>
    <w:p>
      <w:pPr>
        <w:pStyle w:val="10"/>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8" w:lineRule="exact"/>
        <w:ind w:firstLine="642" w:firstLineChars="200"/>
        <w:jc w:val="left"/>
        <w:textAlignment w:val="auto"/>
        <w:rPr>
          <w:rFonts w:hint="default" w:ascii="Times New Roman" w:hAnsi="Times New Roman" w:eastAsia="方正楷体_GBK" w:cs="Times New Roman"/>
          <w:b/>
          <w:bCs/>
          <w:color w:val="000000" w:themeColor="text1"/>
          <w:kern w:val="0"/>
          <w:sz w:val="32"/>
          <w:szCs w:val="32"/>
          <w:shd w:val="clear" w:fill="FFFFFF"/>
          <w14:textFill>
            <w14:solidFill>
              <w14:schemeClr w14:val="tx1"/>
            </w14:solidFill>
          </w14:textFill>
        </w:rPr>
      </w:pPr>
      <w:r>
        <w:rPr>
          <w:rFonts w:hint="default" w:ascii="Times New Roman" w:hAnsi="Times New Roman" w:eastAsia="方正楷体_GBK" w:cs="Times New Roman"/>
          <w:b/>
          <w:bCs/>
          <w:color w:val="000000" w:themeColor="text1"/>
          <w:kern w:val="0"/>
          <w:sz w:val="32"/>
          <w:szCs w:val="32"/>
          <w:shd w:val="clear" w:fill="FFFFFF"/>
          <w14:textFill>
            <w14:solidFill>
              <w14:schemeClr w14:val="tx1"/>
            </w14:solidFill>
          </w14:textFill>
        </w:rPr>
        <w:t>（一）单位自评情况</w:t>
      </w:r>
    </w:p>
    <w:p>
      <w:pPr>
        <w:pStyle w:val="10"/>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8" w:lineRule="exact"/>
        <w:ind w:firstLine="640" w:firstLineChars="200"/>
        <w:jc w:val="left"/>
        <w:textAlignment w:val="auto"/>
        <w:rPr>
          <w:rFonts w:hint="default" w:ascii="Times New Roman" w:hAnsi="Times New Roman" w:eastAsia="方正仿宋_GBK" w:cs="Times New Roman"/>
          <w:b/>
          <w:bCs/>
          <w:color w:val="000000" w:themeColor="text1"/>
          <w:kern w:val="0"/>
          <w:sz w:val="32"/>
          <w:szCs w:val="32"/>
          <w:shd w:val="clear" w:fill="FFFFFF"/>
          <w14:textFill>
            <w14:solidFill>
              <w14:schemeClr w14:val="tx1"/>
            </w14:solidFill>
          </w14:textFill>
        </w:rPr>
      </w:pP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根据预算绩效管理要求，我单位对本乡镇5</w:t>
      </w:r>
      <w:r>
        <w:rPr>
          <w:rFonts w:hint="default" w:ascii="Times New Roman" w:hAnsi="Times New Roman" w:eastAsia="方正仿宋_GBK" w:cs="Times New Roman"/>
          <w:color w:val="000000" w:themeColor="text1"/>
          <w:kern w:val="0"/>
          <w:sz w:val="32"/>
          <w:szCs w:val="32"/>
          <w:shd w:val="clear" w:fill="FFFFFF"/>
          <w:lang w:val="en-US" w:eastAsia="zh-CN"/>
          <w14:textFill>
            <w14:solidFill>
              <w14:schemeClr w14:val="tx1"/>
            </w14:solidFill>
          </w14:textFill>
        </w:rPr>
        <w:t>0</w:t>
      </w: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个二级项目开展了绩效自评，自评总分99.</w:t>
      </w:r>
      <w:r>
        <w:rPr>
          <w:rFonts w:hint="default" w:ascii="Times New Roman" w:hAnsi="Times New Roman" w:eastAsia="方正仿宋_GBK" w:cs="Times New Roman"/>
          <w:color w:val="000000" w:themeColor="text1"/>
          <w:kern w:val="0"/>
          <w:sz w:val="32"/>
          <w:szCs w:val="32"/>
          <w:shd w:val="clear" w:fill="FFFFFF"/>
          <w:lang w:val="en-US" w:eastAsia="zh-CN"/>
          <w14:textFill>
            <w14:solidFill>
              <w14:schemeClr w14:val="tx1"/>
            </w14:solidFill>
          </w14:textFill>
        </w:rPr>
        <w:t>85</w:t>
      </w: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分，涉及财政拨款项目支出资金合计</w:t>
      </w:r>
      <w:r>
        <w:rPr>
          <w:rFonts w:hint="eastAsia" w:ascii="Times New Roman" w:hAnsi="Times New Roman" w:eastAsia="方正仿宋_GBK" w:cs="Times New Roman"/>
          <w:color w:val="000000" w:themeColor="text1"/>
          <w:kern w:val="0"/>
          <w:sz w:val="32"/>
          <w:szCs w:val="32"/>
          <w:shd w:val="clear" w:fill="FFFFFF"/>
          <w:lang w:val="en-US" w:eastAsia="zh-CN"/>
          <w14:textFill>
            <w14:solidFill>
              <w14:schemeClr w14:val="tx1"/>
            </w14:solidFill>
          </w14:textFill>
        </w:rPr>
        <w:t>约为</w:t>
      </w:r>
      <w:r>
        <w:rPr>
          <w:rFonts w:hint="default" w:ascii="Times New Roman" w:hAnsi="Times New Roman" w:eastAsia="方正仿宋_GBK" w:cs="Times New Roman"/>
          <w:color w:val="000000" w:themeColor="text1"/>
          <w:kern w:val="0"/>
          <w:sz w:val="32"/>
          <w:szCs w:val="32"/>
          <w:shd w:val="clear" w:fill="FFFFFF"/>
          <w:lang w:val="en-US" w:eastAsia="zh-CN"/>
          <w14:textFill>
            <w14:solidFill>
              <w14:schemeClr w14:val="tx1"/>
            </w14:solidFill>
          </w14:textFill>
        </w:rPr>
        <w:t>3476.2</w:t>
      </w: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万元。在项目的实施过程中，我单位严格遵守时间节点，确保项目按时交付，通过有效的沟通和协调，解决了项目实施过程中遇到的诸多难题，保证了项目的顺利进行。</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jc w:val="both"/>
        <w:textAlignment w:val="auto"/>
        <w:rPr>
          <w:rFonts w:hint="default" w:ascii="Times New Roman" w:hAnsi="Times New Roman" w:eastAsia="方正仿宋_GBK" w:cs="Times New Roman"/>
          <w:b/>
          <w:bCs/>
          <w:color w:val="000000" w:themeColor="text1"/>
          <w:kern w:val="0"/>
          <w:sz w:val="32"/>
          <w:szCs w:val="32"/>
          <w:shd w:val="clear" w:fill="FFFFFF"/>
          <w:lang w:eastAsia="zh-CN"/>
          <w14:textFill>
            <w14:solidFill>
              <w14:schemeClr w14:val="tx1"/>
            </w14:solidFill>
          </w14:textFill>
        </w:rPr>
      </w:pPr>
      <w:r>
        <w:rPr>
          <w:rFonts w:hint="default" w:ascii="Times New Roman" w:hAnsi="Times New Roman" w:eastAsia="方正仿宋_GBK" w:cs="Times New Roman"/>
          <w:b/>
          <w:bCs/>
          <w:color w:val="000000" w:themeColor="text1"/>
          <w:kern w:val="0"/>
          <w:sz w:val="32"/>
          <w:szCs w:val="32"/>
          <w:shd w:val="clear" w:fill="FFFFFF"/>
          <w14:textFill>
            <w14:solidFill>
              <w14:schemeClr w14:val="tx1"/>
            </w14:solidFill>
          </w14:textFill>
        </w:rPr>
        <w:t>部门整体绩效自评</w:t>
      </w:r>
      <w:r>
        <w:rPr>
          <w:rFonts w:hint="default" w:ascii="Times New Roman" w:hAnsi="Times New Roman" w:eastAsia="方正仿宋_GBK" w:cs="Times New Roman"/>
          <w:b/>
          <w:bCs/>
          <w:color w:val="000000" w:themeColor="text1"/>
          <w:kern w:val="0"/>
          <w:sz w:val="32"/>
          <w:szCs w:val="32"/>
          <w:shd w:val="clear" w:fill="FFFFFF"/>
          <w:lang w:eastAsia="zh-CN"/>
          <w14:textFill>
            <w14:solidFill>
              <w14:schemeClr w14:val="tx1"/>
            </w14:solidFill>
          </w14:textFill>
        </w:rPr>
        <w:t>表</w:t>
      </w:r>
    </w:p>
    <w:p>
      <w:pPr>
        <w:pStyle w:val="10"/>
        <w:keepNext w:val="0"/>
        <w:keepLines w:val="0"/>
        <w:pageBreakBefore w:val="0"/>
        <w:widowControl/>
        <w:kinsoku/>
        <w:wordWrap/>
        <w:overflowPunct/>
        <w:topLinePunct w:val="0"/>
        <w:autoSpaceDN/>
        <w:bidi w:val="0"/>
        <w:adjustRightInd/>
        <w:snapToGrid/>
        <w:spacing w:before="0" w:beforeAutospacing="0" w:after="0" w:afterAutospacing="0" w:line="240" w:lineRule="auto"/>
        <w:textAlignment w:val="auto"/>
        <w:rPr>
          <w:rFonts w:hint="default" w:ascii="Times New Roman" w:hAnsi="Times New Roman" w:eastAsia="方正仿宋_GBK" w:cs="Times New Roman"/>
          <w:b/>
          <w:bCs/>
          <w:color w:val="000000" w:themeColor="text1"/>
          <w:kern w:val="0"/>
          <w:sz w:val="32"/>
          <w:szCs w:val="32"/>
          <w:shd w:val="clear" w:fill="FFFFFF"/>
          <w14:textFill>
            <w14:solidFill>
              <w14:schemeClr w14:val="tx1"/>
            </w14:solidFill>
          </w14:textFill>
        </w:rPr>
      </w:pPr>
      <w:r>
        <w:rPr>
          <w:rFonts w:hint="default" w:ascii="Times New Roman" w:hAnsi="Times New Roman" w:eastAsia="方正仿宋_GBK" w:cs="Times New Roman"/>
          <w:b/>
          <w:bCs/>
          <w:color w:val="000000" w:themeColor="text1"/>
          <w:kern w:val="0"/>
          <w:sz w:val="32"/>
          <w:szCs w:val="32"/>
          <w:shd w:val="clear" w:fill="FFFFFF"/>
          <w:lang w:eastAsia="zh-CN"/>
          <w14:textFill>
            <w14:solidFill>
              <w14:schemeClr w14:val="tx1"/>
            </w14:solidFill>
          </w14:textFill>
        </w:rPr>
        <w:drawing>
          <wp:inline distT="0" distB="0" distL="114300" distR="114300">
            <wp:extent cx="5279390" cy="6162040"/>
            <wp:effectExtent l="0" t="0" r="16510" b="10160"/>
            <wp:docPr id="1" name="图片 1" descr="截图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截图2"/>
                    <pic:cNvPicPr>
                      <a:picLocks noChangeAspect="true"/>
                    </pic:cNvPicPr>
                  </pic:nvPicPr>
                  <pic:blipFill>
                    <a:blip r:embed="rId7"/>
                    <a:stretch>
                      <a:fillRect/>
                    </a:stretch>
                  </pic:blipFill>
                  <pic:spPr>
                    <a:xfrm>
                      <a:off x="0" y="0"/>
                      <a:ext cx="5279390" cy="6162040"/>
                    </a:xfrm>
                    <a:prstGeom prst="rect">
                      <a:avLst/>
                    </a:prstGeom>
                  </pic:spPr>
                </pic:pic>
              </a:graphicData>
            </a:graphic>
          </wp:inline>
        </w:drawing>
      </w:r>
    </w:p>
    <w:p>
      <w:pPr>
        <w:pStyle w:val="10"/>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2" w:firstLineChars="200"/>
        <w:jc w:val="both"/>
        <w:textAlignment w:val="auto"/>
        <w:rPr>
          <w:rFonts w:hint="default" w:ascii="Times New Roman" w:hAnsi="Times New Roman" w:eastAsia="方正仿宋_GBK" w:cs="Times New Roman"/>
          <w:b/>
          <w:bCs/>
          <w:color w:val="000000" w:themeColor="text1"/>
          <w:kern w:val="0"/>
          <w:sz w:val="32"/>
          <w:szCs w:val="32"/>
          <w:shd w:val="clear" w:fill="FFFFFF"/>
          <w:lang w:eastAsia="zh-CN"/>
          <w14:textFill>
            <w14:solidFill>
              <w14:schemeClr w14:val="tx1"/>
            </w14:solidFill>
          </w14:textFill>
        </w:rPr>
      </w:pPr>
      <w:r>
        <w:rPr>
          <w:rFonts w:hint="default" w:ascii="Times New Roman" w:hAnsi="Times New Roman" w:eastAsia="方正仿宋_GBK" w:cs="Times New Roman"/>
          <w:b/>
          <w:bCs/>
          <w:color w:val="000000" w:themeColor="text1"/>
          <w:kern w:val="0"/>
          <w:sz w:val="32"/>
          <w:szCs w:val="32"/>
          <w:shd w:val="clear" w:fill="FFFFFF"/>
          <w14:textFill>
            <w14:solidFill>
              <w14:schemeClr w14:val="tx1"/>
            </w14:solidFill>
          </w14:textFill>
        </w:rPr>
        <w:t>项目支出绩效自评表</w:t>
      </w:r>
      <w:r>
        <w:rPr>
          <w:rFonts w:hint="default" w:ascii="Times New Roman" w:hAnsi="Times New Roman" w:eastAsia="方正仿宋_GBK" w:cs="Times New Roman"/>
          <w:b/>
          <w:bCs/>
          <w:color w:val="000000" w:themeColor="text1"/>
          <w:kern w:val="0"/>
          <w:sz w:val="32"/>
          <w:szCs w:val="32"/>
          <w:shd w:val="clear" w:fill="FFFFFF"/>
          <w:lang w:eastAsia="zh-CN"/>
          <w14:textFill>
            <w14:solidFill>
              <w14:schemeClr w14:val="tx1"/>
            </w14:solidFill>
          </w14:textFill>
        </w:rPr>
        <w:t>（</w:t>
      </w:r>
      <w:r>
        <w:rPr>
          <w:rFonts w:hint="default" w:ascii="Times New Roman" w:hAnsi="Times New Roman" w:eastAsia="方正仿宋_GBK" w:cs="Times New Roman"/>
          <w:b/>
          <w:bCs/>
          <w:color w:val="000000" w:themeColor="text1"/>
          <w:kern w:val="0"/>
          <w:sz w:val="32"/>
          <w:szCs w:val="32"/>
          <w:shd w:val="clear" w:fill="FFFFFF"/>
          <w:lang w:val="en-US" w:eastAsia="zh-CN"/>
          <w14:textFill>
            <w14:solidFill>
              <w14:schemeClr w14:val="tx1"/>
            </w14:solidFill>
          </w14:textFill>
        </w:rPr>
        <w:t>二级项目</w:t>
      </w:r>
      <w:r>
        <w:rPr>
          <w:rFonts w:hint="default" w:ascii="Times New Roman" w:hAnsi="Times New Roman" w:eastAsia="方正仿宋_GBK" w:cs="Times New Roman"/>
          <w:b/>
          <w:bCs/>
          <w:color w:val="000000" w:themeColor="text1"/>
          <w:kern w:val="0"/>
          <w:sz w:val="32"/>
          <w:szCs w:val="32"/>
          <w:shd w:val="clear" w:fill="FFFFFF"/>
          <w:lang w:eastAsia="zh-CN"/>
          <w14:textFill>
            <w14:solidFill>
              <w14:schemeClr w14:val="tx1"/>
            </w14:solidFill>
          </w14:textFill>
        </w:rPr>
        <w:t>）</w:t>
      </w:r>
    </w:p>
    <w:p>
      <w:pPr>
        <w:pStyle w:val="10"/>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40" w:lineRule="auto"/>
        <w:ind w:left="321" w:hanging="321" w:hangingChars="100"/>
        <w:jc w:val="left"/>
        <w:textAlignment w:val="auto"/>
        <w:rPr>
          <w:rFonts w:hint="default" w:ascii="Times New Roman" w:hAnsi="Times New Roman" w:eastAsia="楷体" w:cs="Times New Roman"/>
          <w:b/>
          <w:bCs/>
          <w:color w:val="000000" w:themeColor="text1"/>
          <w:kern w:val="0"/>
          <w:sz w:val="32"/>
          <w:szCs w:val="32"/>
          <w:shd w:val="clear" w:fill="FFFFFF"/>
          <w14:textFill>
            <w14:solidFill>
              <w14:schemeClr w14:val="tx1"/>
            </w14:solidFill>
          </w14:textFill>
        </w:rPr>
      </w:pPr>
      <w:r>
        <w:rPr>
          <w:rFonts w:hint="default" w:ascii="Times New Roman" w:hAnsi="Times New Roman" w:eastAsia="楷体" w:cs="Times New Roman"/>
          <w:b/>
          <w:bCs/>
          <w:color w:val="000000" w:themeColor="text1"/>
          <w:kern w:val="0"/>
          <w:sz w:val="32"/>
          <w:szCs w:val="32"/>
          <w:shd w:val="clear" w:fill="FFFFFF"/>
          <w14:textFill>
            <w14:solidFill>
              <w14:schemeClr w14:val="tx1"/>
            </w14:solidFill>
          </w14:textFill>
        </w:rPr>
        <w:drawing>
          <wp:inline distT="0" distB="0" distL="114300" distR="114300">
            <wp:extent cx="5295900" cy="7098030"/>
            <wp:effectExtent l="0" t="0" r="0" b="7620"/>
            <wp:docPr id="3" name="图片 3" descr="截图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descr="截图3"/>
                    <pic:cNvPicPr>
                      <a:picLocks noChangeAspect="true"/>
                    </pic:cNvPicPr>
                  </pic:nvPicPr>
                  <pic:blipFill>
                    <a:blip r:embed="rId8"/>
                    <a:stretch>
                      <a:fillRect/>
                    </a:stretch>
                  </pic:blipFill>
                  <pic:spPr>
                    <a:xfrm>
                      <a:off x="0" y="0"/>
                      <a:ext cx="5295900" cy="7098030"/>
                    </a:xfrm>
                    <a:prstGeom prst="rect">
                      <a:avLst/>
                    </a:prstGeom>
                  </pic:spPr>
                </pic:pic>
              </a:graphicData>
            </a:graphic>
          </wp:inline>
        </w:drawing>
      </w:r>
    </w:p>
    <w:p>
      <w:pPr>
        <w:pStyle w:val="10"/>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240" w:lineRule="auto"/>
        <w:ind w:left="321" w:hanging="321" w:hangingChars="100"/>
        <w:jc w:val="left"/>
        <w:textAlignment w:val="auto"/>
        <w:rPr>
          <w:rFonts w:hint="default" w:ascii="Times New Roman" w:hAnsi="Times New Roman" w:eastAsia="楷体" w:cs="Times New Roman"/>
          <w:b/>
          <w:bCs/>
          <w:color w:val="000000" w:themeColor="text1"/>
          <w:kern w:val="0"/>
          <w:sz w:val="32"/>
          <w:szCs w:val="32"/>
          <w:shd w:val="clear" w:fill="FFFFFF"/>
          <w14:textFill>
            <w14:solidFill>
              <w14:schemeClr w14:val="tx1"/>
            </w14:solidFill>
          </w14:textFill>
        </w:rPr>
      </w:pPr>
    </w:p>
    <w:p>
      <w:pPr>
        <w:pStyle w:val="10"/>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8" w:lineRule="exact"/>
        <w:ind w:firstLine="642" w:firstLineChars="200"/>
        <w:jc w:val="left"/>
        <w:textAlignment w:val="auto"/>
        <w:rPr>
          <w:rFonts w:hint="default" w:ascii="Times New Roman" w:hAnsi="Times New Roman" w:eastAsia="方正楷体_GBK" w:cs="Times New Roman"/>
          <w:b/>
          <w:bCs/>
          <w:color w:val="000000" w:themeColor="text1"/>
          <w:kern w:val="0"/>
          <w:sz w:val="32"/>
          <w:szCs w:val="32"/>
          <w:shd w:val="clear" w:fill="FFFFFF"/>
          <w14:textFill>
            <w14:solidFill>
              <w14:schemeClr w14:val="tx1"/>
            </w14:solidFill>
          </w14:textFill>
        </w:rPr>
      </w:pPr>
    </w:p>
    <w:p>
      <w:pPr>
        <w:pStyle w:val="10"/>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8" w:lineRule="exact"/>
        <w:ind w:firstLine="642" w:firstLineChars="200"/>
        <w:jc w:val="left"/>
        <w:textAlignment w:val="auto"/>
        <w:rPr>
          <w:rFonts w:hint="default" w:ascii="Times New Roman" w:hAnsi="Times New Roman" w:eastAsia="方正楷体_GBK" w:cs="Times New Roman"/>
          <w:b/>
          <w:bCs/>
          <w:color w:val="000000" w:themeColor="text1"/>
          <w:kern w:val="0"/>
          <w:sz w:val="32"/>
          <w:szCs w:val="32"/>
          <w:shd w:val="clear" w:fill="FFFFFF"/>
          <w14:textFill>
            <w14:solidFill>
              <w14:schemeClr w14:val="tx1"/>
            </w14:solidFill>
          </w14:textFill>
        </w:rPr>
      </w:pPr>
    </w:p>
    <w:p>
      <w:pPr>
        <w:pStyle w:val="10"/>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8" w:lineRule="exact"/>
        <w:ind w:firstLine="642" w:firstLineChars="200"/>
        <w:jc w:val="left"/>
        <w:textAlignment w:val="auto"/>
        <w:rPr>
          <w:rFonts w:hint="default" w:ascii="Times New Roman" w:hAnsi="Times New Roman" w:eastAsia="方正楷体_GBK" w:cs="Times New Roman"/>
          <w:b/>
          <w:bCs/>
          <w:color w:val="000000" w:themeColor="text1"/>
          <w:kern w:val="0"/>
          <w:sz w:val="32"/>
          <w:szCs w:val="32"/>
          <w:shd w:val="clear" w:fill="FFFFFF"/>
          <w14:textFill>
            <w14:solidFill>
              <w14:schemeClr w14:val="tx1"/>
            </w14:solidFill>
          </w14:textFill>
        </w:rPr>
      </w:pPr>
      <w:r>
        <w:rPr>
          <w:rFonts w:hint="default" w:ascii="Times New Roman" w:hAnsi="Times New Roman" w:eastAsia="方正楷体_GBK" w:cs="Times New Roman"/>
          <w:b/>
          <w:bCs/>
          <w:color w:val="000000" w:themeColor="text1"/>
          <w:kern w:val="0"/>
          <w:sz w:val="32"/>
          <w:szCs w:val="32"/>
          <w:shd w:val="clear" w:fill="FFFFFF"/>
          <w14:textFill>
            <w14:solidFill>
              <w14:schemeClr w14:val="tx1"/>
            </w14:solidFill>
          </w14:textFill>
        </w:rPr>
        <w:t>（二）部门绩效评价情况</w:t>
      </w:r>
    </w:p>
    <w:p>
      <w:pPr>
        <w:pStyle w:val="9"/>
        <w:keepNext w:val="0"/>
        <w:keepLines w:val="0"/>
        <w:pageBreakBefore w:val="0"/>
        <w:widowControl/>
        <w:kinsoku/>
        <w:wordWrap/>
        <w:overflowPunct/>
        <w:topLinePunct w:val="0"/>
        <w:autoSpaceDE w:val="0"/>
        <w:autoSpaceDN/>
        <w:bidi w:val="0"/>
        <w:adjustRightInd/>
        <w:spacing w:line="578" w:lineRule="exact"/>
        <w:ind w:firstLine="643"/>
        <w:textAlignment w:val="auto"/>
        <w:rPr>
          <w:rFonts w:hint="default" w:ascii="Times New Roman" w:hAnsi="Times New Roman" w:eastAsia="方正仿宋_GBK" w:cs="Times New Roman"/>
          <w:color w:val="000000" w:themeColor="text1"/>
          <w:kern w:val="0"/>
          <w:sz w:val="32"/>
          <w:szCs w:val="32"/>
          <w:shd w:val="clear" w:fill="FFFFFF"/>
          <w:lang w:eastAsia="zh-CN"/>
          <w14:textFill>
            <w14:solidFill>
              <w14:schemeClr w14:val="tx1"/>
            </w14:solidFill>
          </w14:textFill>
        </w:rPr>
      </w:pPr>
      <w:r>
        <w:rPr>
          <w:rFonts w:hint="eastAsia" w:ascii="方正仿宋_GBK" w:hAnsi="方正仿宋_GBK" w:eastAsia="方正仿宋_GBK" w:cs="方正仿宋_GBK"/>
          <w:kern w:val="0"/>
          <w:sz w:val="32"/>
          <w:szCs w:val="32"/>
          <w:shd w:val="clear" w:fill="FFFFFF"/>
        </w:rPr>
        <w:t>我单位对</w:t>
      </w:r>
      <w:r>
        <w:rPr>
          <w:rFonts w:hint="eastAsia" w:ascii="方正仿宋_GBK" w:hAnsi="方正仿宋_GBK" w:eastAsia="方正仿宋_GBK" w:cs="方正仿宋_GBK"/>
          <w:kern w:val="0"/>
          <w:sz w:val="32"/>
          <w:szCs w:val="32"/>
          <w:shd w:val="clear" w:fill="FFFFFF"/>
          <w:lang w:val="en-US" w:eastAsia="zh-CN"/>
        </w:rPr>
        <w:t>县级预备救灾资金</w:t>
      </w:r>
      <w:r>
        <w:rPr>
          <w:rFonts w:hint="eastAsia" w:ascii="方正仿宋_GBK" w:hAnsi="方正仿宋_GBK" w:eastAsia="方正仿宋_GBK" w:cs="方正仿宋_GBK"/>
          <w:kern w:val="0"/>
          <w:sz w:val="32"/>
          <w:szCs w:val="32"/>
          <w:shd w:val="clear" w:fill="FFFFFF"/>
        </w:rPr>
        <w:t>开展了绩效评价，涉及财政拨款项目资金</w:t>
      </w:r>
      <w:r>
        <w:rPr>
          <w:rFonts w:hint="eastAsia" w:ascii="方正仿宋_GBK" w:hAnsi="方正仿宋_GBK" w:eastAsia="方正仿宋_GBK" w:cs="方正仿宋_GBK"/>
          <w:kern w:val="0"/>
          <w:sz w:val="32"/>
          <w:szCs w:val="32"/>
          <w:shd w:val="clear" w:fill="FFFFFF"/>
          <w:lang w:val="en-US" w:eastAsia="zh-CN"/>
        </w:rPr>
        <w:t>12</w:t>
      </w:r>
      <w:r>
        <w:rPr>
          <w:rFonts w:hint="eastAsia" w:ascii="方正仿宋_GBK" w:hAnsi="方正仿宋_GBK" w:eastAsia="方正仿宋_GBK" w:cs="方正仿宋_GBK"/>
          <w:kern w:val="0"/>
          <w:sz w:val="32"/>
          <w:szCs w:val="32"/>
          <w:shd w:val="clear" w:fill="FFFFFF"/>
        </w:rPr>
        <w:t>万元，评价得分</w:t>
      </w:r>
      <w:r>
        <w:rPr>
          <w:rFonts w:hint="eastAsia" w:ascii="方正仿宋_GBK" w:hAnsi="方正仿宋_GBK" w:eastAsia="方正仿宋_GBK" w:cs="方正仿宋_GBK"/>
          <w:kern w:val="0"/>
          <w:sz w:val="32"/>
          <w:szCs w:val="32"/>
          <w:shd w:val="clear" w:fill="FFFFFF"/>
          <w:lang w:val="en-US" w:eastAsia="zh-CN"/>
        </w:rPr>
        <w:t>100</w:t>
      </w:r>
      <w:r>
        <w:rPr>
          <w:rFonts w:hint="eastAsia" w:ascii="方正仿宋_GBK" w:hAnsi="方正仿宋_GBK" w:eastAsia="方正仿宋_GBK" w:cs="方正仿宋_GBK"/>
          <w:kern w:val="0"/>
          <w:sz w:val="32"/>
          <w:szCs w:val="32"/>
          <w:shd w:val="clear" w:fill="FFFFFF"/>
        </w:rPr>
        <w:t>分，评价等次为</w:t>
      </w:r>
      <w:r>
        <w:rPr>
          <w:rFonts w:hint="eastAsia" w:ascii="方正仿宋_GBK" w:hAnsi="方正仿宋_GBK" w:eastAsia="方正仿宋_GBK" w:cs="方正仿宋_GBK"/>
          <w:kern w:val="0"/>
          <w:sz w:val="32"/>
          <w:szCs w:val="32"/>
          <w:shd w:val="clear" w:fill="FFFFFF"/>
          <w:lang w:val="en-US" w:eastAsia="zh-CN"/>
        </w:rPr>
        <w:t>优</w:t>
      </w:r>
      <w:r>
        <w:rPr>
          <w:rFonts w:hint="eastAsia" w:ascii="方正仿宋_GBK" w:hAnsi="方正仿宋_GBK" w:eastAsia="方正仿宋_GBK" w:cs="方正仿宋_GBK"/>
          <w:kern w:val="0"/>
          <w:sz w:val="32"/>
          <w:szCs w:val="32"/>
          <w:shd w:val="clear" w:fill="FFFFFF"/>
        </w:rPr>
        <w:t>，但在绩效评价发现了资金使用中仍存在部分救灾物资储备结构不合理、动态轮换机制不完善导致少量物资闲置，以及预算编制与实际灾害需求匹配度不足等主要问题，针对此，建议建立"风险评估+需求导向"的物资动态调整机制，强化预算精准性测算，同时完善绩效跟踪与结果应用闭环管理，切实提升救灾资金使用效能。</w:t>
      </w:r>
    </w:p>
    <w:p>
      <w:pPr>
        <w:pStyle w:val="10"/>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78" w:lineRule="exact"/>
        <w:ind w:firstLine="642" w:firstLineChars="200"/>
        <w:jc w:val="left"/>
        <w:textAlignment w:val="auto"/>
        <w:rPr>
          <w:rFonts w:hint="default" w:ascii="Times New Roman" w:hAnsi="Times New Roman" w:eastAsia="方正楷体_GBK" w:cs="Times New Roman"/>
          <w:b/>
          <w:bCs/>
          <w:color w:val="000000" w:themeColor="text1"/>
          <w:kern w:val="0"/>
          <w:sz w:val="32"/>
          <w:szCs w:val="32"/>
          <w:shd w:val="clear" w:fill="FFFFFF"/>
          <w:lang w:val="en-US" w:eastAsia="zh-CN" w:bidi="ar"/>
          <w14:textFill>
            <w14:solidFill>
              <w14:schemeClr w14:val="tx1"/>
            </w14:solidFill>
          </w14:textFill>
        </w:rPr>
      </w:pPr>
      <w:r>
        <w:rPr>
          <w:rFonts w:hint="default" w:ascii="Times New Roman" w:hAnsi="Times New Roman" w:eastAsia="方正楷体_GBK" w:cs="Times New Roman"/>
          <w:b/>
          <w:bCs/>
          <w:color w:val="000000" w:themeColor="text1"/>
          <w:kern w:val="0"/>
          <w:sz w:val="32"/>
          <w:szCs w:val="32"/>
          <w:shd w:val="clear" w:fill="FFFFFF"/>
          <w:lang w:val="en-US" w:eastAsia="zh-CN" w:bidi="ar"/>
          <w14:textFill>
            <w14:solidFill>
              <w14:schemeClr w14:val="tx1"/>
            </w14:solidFill>
          </w14:textFill>
        </w:rPr>
        <w:t>（三）财政绩效评价情况</w:t>
      </w:r>
    </w:p>
    <w:p>
      <w:pPr>
        <w:pStyle w:val="10"/>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578" w:lineRule="exact"/>
        <w:ind w:firstLine="640" w:firstLineChars="200"/>
        <w:jc w:val="left"/>
        <w:textAlignment w:val="auto"/>
        <w:rPr>
          <w:rFonts w:hint="default" w:ascii="Times New Roman" w:hAnsi="Times New Roman" w:eastAsia="方正仿宋_GBK" w:cs="Times New Roman"/>
          <w:color w:val="000000" w:themeColor="text1"/>
          <w:kern w:val="0"/>
          <w:sz w:val="32"/>
          <w:szCs w:val="32"/>
          <w:shd w:val="clear" w:fill="FFFFFF"/>
          <w:lang w:eastAsia="zh-CN"/>
          <w14:textFill>
            <w14:solidFill>
              <w14:schemeClr w14:val="tx1"/>
            </w14:solidFill>
          </w14:textFill>
        </w:rPr>
      </w:pPr>
      <w:r>
        <w:rPr>
          <w:rFonts w:hint="default" w:ascii="Times New Roman" w:hAnsi="Times New Roman" w:eastAsia="方正仿宋_GBK" w:cs="Times New Roman"/>
          <w:color w:val="000000" w:themeColor="text1"/>
          <w:kern w:val="0"/>
          <w:sz w:val="32"/>
          <w:szCs w:val="32"/>
          <w:shd w:val="clear" w:fill="FFFFFF"/>
          <w:lang w:eastAsia="zh-CN"/>
          <w14:textFill>
            <w14:solidFill>
              <w14:schemeClr w14:val="tx1"/>
            </w14:solidFill>
          </w14:textFill>
        </w:rPr>
        <w:t>市财政局未委托第三方对我单位开展绩效评价。</w:t>
      </w:r>
    </w:p>
    <w:p>
      <w:pPr>
        <w:pStyle w:val="10"/>
        <w:keepNext w:val="0"/>
        <w:keepLines w:val="0"/>
        <w:pageBreakBefore w:val="0"/>
        <w:widowControl/>
        <w:kinsoku/>
        <w:wordWrap/>
        <w:overflowPunct/>
        <w:topLinePunct w:val="0"/>
        <w:autoSpaceDE w:val="0"/>
        <w:autoSpaceDN/>
        <w:bidi w:val="0"/>
        <w:adjustRightInd/>
        <w:snapToGrid/>
        <w:spacing w:before="0" w:beforeAutospacing="0" w:after="0" w:afterAutospacing="0" w:line="578" w:lineRule="exact"/>
        <w:textAlignment w:val="auto"/>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Style w:val="11"/>
          <w:rFonts w:hint="default" w:ascii="Times New Roman" w:hAnsi="Times New Roman" w:eastAsia="方正仿宋_GBK" w:cs="Times New Roman"/>
          <w:b/>
          <w:bCs/>
          <w:color w:val="000000" w:themeColor="text1"/>
          <w:sz w:val="32"/>
          <w:szCs w:val="32"/>
          <w:shd w:val="clear" w:fill="FFFFFF"/>
          <w14:textFill>
            <w14:solidFill>
              <w14:schemeClr w14:val="tx1"/>
            </w14:solidFill>
          </w14:textFill>
        </w:rPr>
        <w:t xml:space="preserve"> </w:t>
      </w:r>
      <w:r>
        <w:rPr>
          <w:rStyle w:val="11"/>
          <w:rFonts w:hint="default" w:ascii="Times New Roman" w:hAnsi="Times New Roman" w:eastAsia="方正仿宋_GBK" w:cs="Times New Roman"/>
          <w:b/>
          <w:bCs/>
          <w:color w:val="000000" w:themeColor="text1"/>
          <w:sz w:val="32"/>
          <w:szCs w:val="32"/>
          <w:shd w:val="clear" w:fill="FFFFFF"/>
          <w:lang w:val="en-US" w:eastAsia="zh-CN"/>
          <w14:textFill>
            <w14:solidFill>
              <w14:schemeClr w14:val="tx1"/>
            </w14:solidFill>
          </w14:textFill>
        </w:rPr>
        <w:t xml:space="preserve">  </w:t>
      </w:r>
      <w:r>
        <w:rPr>
          <w:rStyle w:val="8"/>
          <w:rFonts w:hint="default" w:ascii="Times New Roman" w:hAnsi="Times New Roman" w:eastAsia="黑体" w:cs="Times New Roman"/>
          <w:color w:val="000000" w:themeColor="text1"/>
          <w:sz w:val="32"/>
          <w:szCs w:val="32"/>
          <w:shd w:val="clear" w:color="auto" w:fill="FFFFFF"/>
          <w:lang w:val="en-US" w:eastAsia="zh-CN" w:bidi="ar-SA"/>
          <w14:textFill>
            <w14:solidFill>
              <w14:schemeClr w14:val="tx1"/>
            </w14:solidFill>
          </w14:textFill>
        </w:rPr>
        <w:t xml:space="preserve"> 六、专业名词解释</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Style w:val="8"/>
          <w:rFonts w:hint="default" w:ascii="Times New Roman" w:hAnsi="Times New Roman" w:eastAsia="方正楷体_GBK" w:cs="Times New Roman"/>
          <w:color w:val="000000" w:themeColor="text1"/>
          <w:sz w:val="32"/>
          <w:szCs w:val="32"/>
          <w:shd w:val="clear" w:color="auto" w:fill="FFFFFF"/>
          <w:lang w:val="en-US" w:eastAsia="zh-CN" w:bidi="ar-SA"/>
          <w14:textFill>
            <w14:solidFill>
              <w14:schemeClr w14:val="tx1"/>
            </w14:solidFill>
          </w14:textFill>
        </w:rPr>
        <w:t>（一）财政拨款收入：</w:t>
      </w: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指本年度从本级财政部门取得的财政拨款，包括一般公共预算财政拨款和政府性基金预算财政拨款。</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Style w:val="8"/>
          <w:rFonts w:hint="default" w:ascii="Times New Roman" w:hAnsi="Times New Roman" w:eastAsia="方正楷体_GBK" w:cs="Times New Roman"/>
          <w:color w:val="000000" w:themeColor="text1"/>
          <w:sz w:val="32"/>
          <w:szCs w:val="32"/>
          <w:shd w:val="clear" w:color="auto" w:fill="FFFFFF"/>
          <w:lang w:val="en-US" w:eastAsia="zh-CN" w:bidi="ar-SA"/>
          <w14:textFill>
            <w14:solidFill>
              <w14:schemeClr w14:val="tx1"/>
            </w14:solidFill>
          </w14:textFill>
        </w:rPr>
        <w:t>（二）事业收入：</w:t>
      </w: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指事业单位开展专业业务活动及其辅助活动取得的现金流入；事业单位收到的财政专户实际核拨的教育收费等资金在此反映。</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Style w:val="8"/>
          <w:rFonts w:hint="default" w:ascii="Times New Roman" w:hAnsi="Times New Roman" w:eastAsia="方正楷体_GBK" w:cs="Times New Roman"/>
          <w:color w:val="000000" w:themeColor="text1"/>
          <w:sz w:val="32"/>
          <w:szCs w:val="32"/>
          <w:shd w:val="clear" w:color="auto" w:fill="FFFFFF"/>
          <w:lang w:val="en-US" w:eastAsia="zh-CN" w:bidi="ar-SA"/>
          <w14:textFill>
            <w14:solidFill>
              <w14:schemeClr w14:val="tx1"/>
            </w14:solidFill>
          </w14:textFill>
        </w:rPr>
        <w:t>（三）经营收入：</w:t>
      </w: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指事业单位在专业业务活动及其辅助活动之外开展非独立核算经营活动取得的现金流入。</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Style w:val="8"/>
          <w:rFonts w:hint="default" w:ascii="Times New Roman" w:hAnsi="Times New Roman" w:eastAsia="方正楷体_GBK" w:cs="Times New Roman"/>
          <w:color w:val="000000" w:themeColor="text1"/>
          <w:sz w:val="32"/>
          <w:szCs w:val="32"/>
          <w:shd w:val="clear" w:color="auto" w:fill="FFFFFF"/>
          <w:lang w:val="en-US" w:eastAsia="zh-CN" w:bidi="ar-SA"/>
          <w14:textFill>
            <w14:solidFill>
              <w14:schemeClr w14:val="tx1"/>
            </w14:solidFill>
          </w14:textFill>
        </w:rPr>
        <w:t>（四）其他收入：</w:t>
      </w: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Style w:val="8"/>
          <w:rFonts w:hint="default" w:ascii="Times New Roman" w:hAnsi="Times New Roman" w:eastAsia="方正楷体_GBK" w:cs="Times New Roman"/>
          <w:color w:val="000000" w:themeColor="text1"/>
          <w:sz w:val="32"/>
          <w:szCs w:val="32"/>
          <w:shd w:val="clear" w:color="auto" w:fill="FFFFFF"/>
          <w:lang w:val="en-US" w:eastAsia="zh-CN" w:bidi="ar-SA"/>
          <w14:textFill>
            <w14:solidFill>
              <w14:schemeClr w14:val="tx1"/>
            </w14:solidFill>
          </w14:textFill>
        </w:rPr>
        <w:t>（五）使用非财政拨款结余：</w:t>
      </w: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指单位在当年的“财政拨款收入”、“事业收入”、“经营收入”、“其他收入”等不足以安排当年支出的情况下，使用以前年度积累的非财政拨款结余弥补本年度收支缺口的资金。</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Style w:val="8"/>
          <w:rFonts w:hint="default" w:ascii="Times New Roman" w:hAnsi="Times New Roman" w:eastAsia="方正楷体_GBK" w:cs="Times New Roman"/>
          <w:color w:val="000000" w:themeColor="text1"/>
          <w:sz w:val="32"/>
          <w:szCs w:val="32"/>
          <w:shd w:val="clear" w:color="auto" w:fill="FFFFFF"/>
          <w:lang w:val="en-US" w:eastAsia="zh-CN" w:bidi="ar-SA"/>
          <w14:textFill>
            <w14:solidFill>
              <w14:schemeClr w14:val="tx1"/>
            </w14:solidFill>
          </w14:textFill>
        </w:rPr>
        <w:t>（六）年初结转和结余：</w:t>
      </w: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指单位上年结转本年使用的基本支出结转、项目支出结转和结余、经营结余。</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Style w:val="8"/>
          <w:rFonts w:hint="default" w:ascii="Times New Roman" w:hAnsi="Times New Roman" w:eastAsia="方正楷体_GBK" w:cs="Times New Roman"/>
          <w:color w:val="000000" w:themeColor="text1"/>
          <w:sz w:val="32"/>
          <w:szCs w:val="32"/>
          <w:shd w:val="clear" w:color="auto" w:fill="FFFFFF"/>
          <w:lang w:val="en-US" w:eastAsia="zh-CN" w:bidi="ar-SA"/>
          <w14:textFill>
            <w14:solidFill>
              <w14:schemeClr w14:val="tx1"/>
            </w14:solidFill>
          </w14:textFill>
        </w:rPr>
        <w:t>（七）结余分配：</w:t>
      </w: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指单位按照国家有关规定，缴纳所得税、提取专用基金、转入非财政拨款结余等当年结余的分配情况。</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Style w:val="8"/>
          <w:rFonts w:hint="default" w:ascii="Times New Roman" w:hAnsi="Times New Roman" w:eastAsia="方正楷体_GBK" w:cs="Times New Roman"/>
          <w:color w:val="000000" w:themeColor="text1"/>
          <w:sz w:val="32"/>
          <w:szCs w:val="32"/>
          <w:shd w:val="clear" w:color="auto" w:fill="FFFFFF"/>
          <w:lang w:val="en-US" w:eastAsia="zh-CN" w:bidi="ar-SA"/>
          <w14:textFill>
            <w14:solidFill>
              <w14:schemeClr w14:val="tx1"/>
            </w14:solidFill>
          </w14:textFill>
        </w:rPr>
        <w:t>（八）年末结转和结余：</w:t>
      </w: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指单位结转下年的基本支出结转、项目支出结转和结余、经营结余。</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Style w:val="8"/>
          <w:rFonts w:hint="default" w:ascii="Times New Roman" w:hAnsi="Times New Roman" w:eastAsia="方正楷体_GBK" w:cs="Times New Roman"/>
          <w:color w:val="000000" w:themeColor="text1"/>
          <w:sz w:val="32"/>
          <w:szCs w:val="32"/>
          <w:shd w:val="clear" w:color="auto" w:fill="FFFFFF"/>
          <w:lang w:val="en-US" w:eastAsia="zh-CN" w:bidi="ar-SA"/>
          <w14:textFill>
            <w14:solidFill>
              <w14:schemeClr w14:val="tx1"/>
            </w14:solidFill>
          </w14:textFill>
        </w:rPr>
        <w:t>（九）基本支出：</w:t>
      </w: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Style w:val="8"/>
          <w:rFonts w:hint="default" w:ascii="Times New Roman" w:hAnsi="Times New Roman" w:eastAsia="方正楷体_GBK" w:cs="Times New Roman"/>
          <w:color w:val="000000" w:themeColor="text1"/>
          <w:sz w:val="32"/>
          <w:szCs w:val="32"/>
          <w:shd w:val="clear" w:color="auto" w:fill="FFFFFF"/>
          <w:lang w:val="en-US" w:eastAsia="zh-CN" w:bidi="ar-SA"/>
          <w14:textFill>
            <w14:solidFill>
              <w14:schemeClr w14:val="tx1"/>
            </w14:solidFill>
          </w14:textFill>
        </w:rPr>
        <w:t>（十）项目支出：</w:t>
      </w: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指在基本支出之外为完成特定行政任务和事业发展目标所发生的支出。</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Style w:val="8"/>
          <w:rFonts w:hint="default" w:ascii="Times New Roman" w:hAnsi="Times New Roman" w:eastAsia="方正楷体_GBK" w:cs="Times New Roman"/>
          <w:color w:val="000000" w:themeColor="text1"/>
          <w:sz w:val="32"/>
          <w:szCs w:val="32"/>
          <w:shd w:val="clear" w:color="auto" w:fill="FFFFFF"/>
          <w:lang w:val="en-US" w:eastAsia="zh-CN" w:bidi="ar-SA"/>
          <w14:textFill>
            <w14:solidFill>
              <w14:schemeClr w14:val="tx1"/>
            </w14:solidFill>
          </w14:textFill>
        </w:rPr>
        <w:t>（十一）经营支出：</w:t>
      </w: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指事业单位在专业业务活动及其辅助活动之外开展非独立核算经营活动发生的支出。</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Style w:val="8"/>
          <w:rFonts w:hint="default" w:ascii="Times New Roman" w:hAnsi="Times New Roman" w:eastAsia="方正楷体_GBK" w:cs="Times New Roman"/>
          <w:color w:val="000000" w:themeColor="text1"/>
          <w:sz w:val="32"/>
          <w:szCs w:val="32"/>
          <w:shd w:val="clear" w:color="auto" w:fill="FFFFFF"/>
          <w:lang w:val="en-US" w:eastAsia="zh-CN" w:bidi="ar-SA"/>
          <w14:textFill>
            <w14:solidFill>
              <w14:schemeClr w14:val="tx1"/>
            </w14:solidFill>
          </w14:textFill>
        </w:rPr>
        <w:t>（十二）“三公”经费：</w:t>
      </w: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Style w:val="8"/>
          <w:rFonts w:hint="default" w:ascii="Times New Roman" w:hAnsi="Times New Roman" w:eastAsia="方正楷体_GBK" w:cs="Times New Roman"/>
          <w:color w:val="000000" w:themeColor="text1"/>
          <w:sz w:val="32"/>
          <w:szCs w:val="32"/>
          <w:shd w:val="clear" w:color="auto" w:fill="FFFFFF"/>
          <w:lang w:val="en-US" w:eastAsia="zh-CN" w:bidi="ar-SA"/>
          <w14:textFill>
            <w14:solidFill>
              <w14:schemeClr w14:val="tx1"/>
            </w14:solidFill>
          </w14:textFill>
        </w:rPr>
        <w:t>（十三）机关运行经费：</w:t>
      </w: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Style w:val="8"/>
          <w:rFonts w:hint="default" w:ascii="Times New Roman" w:hAnsi="Times New Roman" w:eastAsia="方正楷体_GBK" w:cs="Times New Roman"/>
          <w:color w:val="000000" w:themeColor="text1"/>
          <w:sz w:val="32"/>
          <w:szCs w:val="32"/>
          <w:shd w:val="clear" w:color="auto" w:fill="FFFFFF"/>
          <w:lang w:val="en-US" w:eastAsia="zh-CN" w:bidi="ar-SA"/>
          <w14:textFill>
            <w14:solidFill>
              <w14:schemeClr w14:val="tx1"/>
            </w14:solidFill>
          </w14:textFill>
        </w:rPr>
        <w:t>（十四）工资福利支出（支出经济分类科目类级）：</w:t>
      </w: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反映单位开支的在职职工和编制外长期聘用人员的各类劳动报酬，以及为上述人员缴纳的各项社会保险费等。</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Style w:val="8"/>
          <w:rFonts w:hint="default" w:ascii="Times New Roman" w:hAnsi="Times New Roman" w:eastAsia="方正楷体_GBK" w:cs="Times New Roman"/>
          <w:color w:val="000000" w:themeColor="text1"/>
          <w:sz w:val="32"/>
          <w:szCs w:val="32"/>
          <w:shd w:val="clear" w:color="auto" w:fill="FFFFFF"/>
          <w:lang w:val="en-US" w:eastAsia="zh-CN" w:bidi="ar-SA"/>
          <w14:textFill>
            <w14:solidFill>
              <w14:schemeClr w14:val="tx1"/>
            </w14:solidFill>
          </w14:textFill>
        </w:rPr>
        <w:t>（十五）商品和服务支出（支出经济分类科目类级）：</w:t>
      </w: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反映单位购买商品和服务的支出（不包括用于购置固定资产的支出、战略性和应急储备支出）。</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Style w:val="8"/>
          <w:rFonts w:hint="default" w:ascii="Times New Roman" w:hAnsi="Times New Roman" w:eastAsia="方正楷体_GBK" w:cs="Times New Roman"/>
          <w:color w:val="000000" w:themeColor="text1"/>
          <w:sz w:val="32"/>
          <w:szCs w:val="32"/>
          <w:shd w:val="clear" w:color="auto" w:fill="FFFFFF"/>
          <w:lang w:val="en-US" w:eastAsia="zh-CN" w:bidi="ar-SA"/>
          <w14:textFill>
            <w14:solidFill>
              <w14:schemeClr w14:val="tx1"/>
            </w14:solidFill>
          </w14:textFill>
        </w:rPr>
        <w:t>（十六）对个人和家庭的补助（支出经济分类科目类级）：</w:t>
      </w: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反映用于对个人和家庭的补助支出。</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Style w:val="8"/>
          <w:rFonts w:hint="default" w:ascii="Times New Roman" w:hAnsi="Times New Roman" w:eastAsia="方正楷体_GBK" w:cs="Times New Roman"/>
          <w:color w:val="000000" w:themeColor="text1"/>
          <w:sz w:val="32"/>
          <w:szCs w:val="32"/>
          <w:shd w:val="clear" w:color="auto" w:fill="FFFFFF"/>
          <w:lang w:val="en-US" w:eastAsia="zh-CN" w:bidi="ar-SA"/>
          <w14:textFill>
            <w14:solidFill>
              <w14:schemeClr w14:val="tx1"/>
            </w14:solidFill>
          </w14:textFill>
        </w:rPr>
        <w:t>（十七）其他资本性支出（支出经济分类科目类级）：</w:t>
      </w: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反映非各级发展与改革部门集中安排的用于购置固定资产、战略性和应急性储备、土地和无形资产，以及构建基础设施、大型修缮和财政支持企业更新改造所发生的支出。</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2" w:firstLineChars="200"/>
        <w:textAlignment w:val="auto"/>
        <w:rPr>
          <w:rFonts w:hint="default" w:ascii="Times New Roman" w:hAnsi="Times New Roman" w:eastAsia="方正仿宋_GBK" w:cs="Times New Roman"/>
          <w:color w:val="000000" w:themeColor="text1"/>
          <w:kern w:val="0"/>
          <w:sz w:val="32"/>
          <w:szCs w:val="32"/>
          <w14:textFill>
            <w14:solidFill>
              <w14:schemeClr w14:val="tx1"/>
            </w14:solidFill>
          </w14:textFill>
        </w:rPr>
      </w:pPr>
      <w:r>
        <w:rPr>
          <w:rStyle w:val="8"/>
          <w:rFonts w:hint="default" w:ascii="Times New Roman" w:hAnsi="Times New Roman" w:eastAsia="黑体" w:cs="Times New Roman"/>
          <w:color w:val="000000" w:themeColor="text1"/>
          <w:sz w:val="32"/>
          <w:szCs w:val="32"/>
          <w:shd w:val="clear" w:color="auto" w:fill="FFFFFF"/>
          <w:lang w:val="en-US" w:eastAsia="zh-CN" w:bidi="ar-SA"/>
          <w14:textFill>
            <w14:solidFill>
              <w14:schemeClr w14:val="tx1"/>
            </w14:solidFill>
          </w14:textFill>
        </w:rPr>
        <w:t>七、决算公开联系方式及信息反馈渠道</w:t>
      </w:r>
    </w:p>
    <w:p>
      <w:pPr>
        <w:pStyle w:val="10"/>
        <w:keepNext w:val="0"/>
        <w:keepLines w:val="0"/>
        <w:pageBreakBefore w:val="0"/>
        <w:widowControl/>
        <w:kinsoku/>
        <w:wordWrap/>
        <w:overflowPunct/>
        <w:topLinePunct w:val="0"/>
        <w:autoSpaceDN/>
        <w:bidi w:val="0"/>
        <w:adjustRightInd/>
        <w:snapToGrid/>
        <w:spacing w:before="0" w:beforeAutospacing="0" w:after="0" w:afterAutospacing="0" w:line="578" w:lineRule="exact"/>
        <w:ind w:firstLine="640" w:firstLineChars="200"/>
        <w:textAlignment w:val="auto"/>
        <w:rPr>
          <w:rFonts w:hint="default" w:ascii="Times New Roman" w:hAnsi="Times New Roman" w:eastAsia="方正仿宋_GBK"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32"/>
          <w:szCs w:val="32"/>
          <w:shd w:val="clear" w:fill="FFFFFF"/>
          <w14:textFill>
            <w14:solidFill>
              <w14:schemeClr w14:val="tx1"/>
            </w14:solidFill>
          </w14:textFill>
        </w:rPr>
        <w:t>本单位决算公开信息反馈和联系方式：023-</w:t>
      </w:r>
      <w:r>
        <w:rPr>
          <w:rFonts w:hint="default" w:ascii="Times New Roman" w:hAnsi="Times New Roman" w:eastAsia="方正仿宋_GBK" w:cs="Times New Roman"/>
          <w:color w:val="000000" w:themeColor="text1"/>
          <w:kern w:val="0"/>
          <w:sz w:val="32"/>
          <w:szCs w:val="32"/>
          <w:shd w:val="clear" w:fill="FFFFFF"/>
          <w:lang w:val="en-US" w:eastAsia="zh-CN"/>
          <w14:textFill>
            <w14:solidFill>
              <w14:schemeClr w14:val="tx1"/>
            </w14:solidFill>
          </w14:textFill>
        </w:rPr>
        <w:t>51418113</w:t>
      </w:r>
    </w:p>
    <w:p>
      <w:pPr>
        <w:pStyle w:val="9"/>
        <w:autoSpaceDE w:val="0"/>
        <w:spacing w:line="596" w:lineRule="exact"/>
        <w:ind w:firstLine="640"/>
        <w:jc w:val="both"/>
        <w:rPr>
          <w:rStyle w:val="8"/>
          <w:rFonts w:hint="default" w:ascii="Times New Roman" w:hAnsi="Times New Roman" w:eastAsia="方正仿宋_GBK" w:cs="Times New Roman"/>
          <w:color w:val="000000" w:themeColor="text1"/>
          <w:sz w:val="32"/>
          <w:szCs w:val="32"/>
          <w:shd w:val="clear" w:color="auto" w:fill="FFFF00"/>
          <w14:textFill>
            <w14:solidFill>
              <w14:schemeClr w14:val="tx1"/>
            </w14:solidFill>
          </w14:textFill>
        </w:rPr>
        <w:sectPr>
          <w:footerReference r:id="rId3" w:type="default"/>
          <w:pgSz w:w="11915" w:h="16840"/>
          <w:pgMar w:top="1440" w:right="1800" w:bottom="1440" w:left="1800" w:header="851" w:footer="992" w:gutter="0"/>
          <w:pgNumType w:fmt="numberInDash"/>
          <w:cols w:space="720" w:num="1"/>
          <w:docGrid w:type="lines" w:linePitch="312" w:charSpace="0"/>
        </w:sectPr>
      </w:pPr>
    </w:p>
    <w:p>
      <w:pPr>
        <w:pStyle w:val="5"/>
        <w:snapToGrid w:val="0"/>
        <w:spacing w:before="0" w:beforeAutospacing="0" w:after="0" w:afterAutospacing="0" w:line="596" w:lineRule="exact"/>
        <w:ind w:firstLine="640" w:firstLineChars="200"/>
        <w:jc w:val="both"/>
        <w:rPr>
          <w:rFonts w:hint="default" w:ascii="Times New Roman" w:hAnsi="Times New Roman" w:eastAsia="方正仿宋_GBK" w:cs="Times New Roman"/>
          <w:color w:val="000000" w:themeColor="text1"/>
          <w:sz w:val="32"/>
          <w:szCs w:val="32"/>
          <w:shd w:val="clear" w:color="auto" w:fill="FFFFFF"/>
          <w14:textFill>
            <w14:solidFill>
              <w14:schemeClr w14:val="tx1"/>
            </w14:solidFill>
          </w14:textFill>
        </w:rPr>
      </w:pPr>
    </w:p>
    <w:tbl>
      <w:tblPr>
        <w:tblStyle w:val="6"/>
        <w:tblW w:w="1920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77"/>
        <w:gridCol w:w="850"/>
        <w:gridCol w:w="4436"/>
        <w:gridCol w:w="4433"/>
        <w:gridCol w:w="767"/>
        <w:gridCol w:w="43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9207" w:type="dxa"/>
            <w:gridSpan w:val="6"/>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sz w:val="30"/>
                <w:szCs w:val="3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30"/>
                <w:szCs w:val="30"/>
                <w:u w:val="none"/>
                <w:lang w:val="en-US" w:eastAsia="zh-CN" w:bidi="ar"/>
                <w14:textFill>
                  <w14:solidFill>
                    <w14:schemeClr w14:val="tx1"/>
                  </w14:solidFill>
                </w14:textFill>
              </w:rPr>
              <w:t>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4863" w:type="dxa"/>
            <w:gridSpan w:val="5"/>
            <w:vMerge w:val="restart"/>
            <w:tcBorders>
              <w:top w:val="nil"/>
              <w:left w:val="nil"/>
              <w:right w:val="nil"/>
            </w:tcBorders>
            <w:shd w:val="clear" w:color="auto" w:fill="auto"/>
            <w:vAlign w:val="bottom"/>
          </w:tcPr>
          <w:p>
            <w:pP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lang w:eastAsia="zh-CN"/>
                <w14:textFill>
                  <w14:solidFill>
                    <w14:schemeClr w14:val="tx1"/>
                  </w14:solidFill>
                </w14:textFill>
              </w:rPr>
              <w:t>部门</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u w:color="auto"/>
                <w14:textFill>
                  <w14:solidFill>
                    <w14:schemeClr w14:val="tx1"/>
                  </w14:solidFill>
                </w14:textFill>
              </w:rPr>
              <w:t>巫溪县土城镇人民政府</w:t>
            </w:r>
          </w:p>
        </w:tc>
        <w:tc>
          <w:tcPr>
            <w:tcW w:w="4344"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4863" w:type="dxa"/>
            <w:gridSpan w:val="5"/>
            <w:vMerge w:val="continue"/>
            <w:tcBorders>
              <w:left w:val="nil"/>
              <w:bottom w:val="nil"/>
              <w:right w:val="nil"/>
            </w:tcBorders>
            <w:shd w:val="clear" w:color="auto" w:fill="auto"/>
            <w:vAlign w:val="bottom"/>
          </w:tcPr>
          <w:p>
            <w:pP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c>
          <w:tcPr>
            <w:tcW w:w="4344"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单位：</w:t>
            </w: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66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收入</w:t>
            </w:r>
          </w:p>
        </w:tc>
        <w:tc>
          <w:tcPr>
            <w:tcW w:w="954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项目</w:t>
            </w: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行次</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金额</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项目</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行次</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栏次</w:t>
            </w: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栏次</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一、一般公共预算财政拨款收入</w:t>
            </w: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3,243.96 </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一、一般公共服务支出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1</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616.06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二、政府性基金预算财政拨款收入</w:t>
            </w: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12.92 </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二、外交支出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2</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三、国有资本经营预算财政拨款收入</w:t>
            </w: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三、国防支出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3</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四、上级补助收入</w:t>
            </w: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四、公共安全支出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4</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五、事业收入</w:t>
            </w: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五、教育支出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5</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六、经营收入</w:t>
            </w: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六、科学技术支出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6</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七、附属单位上缴收入</w:t>
            </w: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7</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七、文化旅游体育与传媒支出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7</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1.39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八、其他收入</w:t>
            </w: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8</w:t>
            </w:r>
          </w:p>
        </w:tc>
        <w:tc>
          <w:tcPr>
            <w:tcW w:w="4436" w:type="dxa"/>
            <w:tcBorders>
              <w:top w:val="nil"/>
              <w:left w:val="nil"/>
              <w:bottom w:val="nil"/>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八、社会保障和就业支出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8</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181.56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8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9</w:t>
            </w:r>
          </w:p>
        </w:tc>
        <w:tc>
          <w:tcPr>
            <w:tcW w:w="443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九、卫生健康支出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i w:val="0"/>
                <w:iCs w:val="0"/>
                <w:color w:val="000000" w:themeColor="text1"/>
                <w:sz w:val="22"/>
                <w:szCs w:val="22"/>
                <w:u w:val="none"/>
                <w:lang w:val="en-US" w:eastAsia="zh-CN"/>
                <w14:textFill>
                  <w14:solidFill>
                    <w14:schemeClr w14:val="tx1"/>
                  </w14:solidFill>
                </w14:textFill>
              </w:rPr>
              <w:t>39</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39.62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8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10</w:t>
            </w:r>
          </w:p>
        </w:tc>
        <w:tc>
          <w:tcPr>
            <w:tcW w:w="443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十、节能环保支出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40</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60.32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8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11</w:t>
            </w:r>
          </w:p>
        </w:tc>
        <w:tc>
          <w:tcPr>
            <w:tcW w:w="443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十一、城乡社区支出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1</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64.93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8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12</w:t>
            </w:r>
          </w:p>
        </w:tc>
        <w:tc>
          <w:tcPr>
            <w:tcW w:w="4436"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十二、农林水支出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2</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1,882.30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8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13</w:t>
            </w:r>
          </w:p>
        </w:tc>
        <w:tc>
          <w:tcPr>
            <w:tcW w:w="4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十三、交通运输支出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3</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290.97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14</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十四、资源勘探工业信息等支出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4</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15</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十五、商业服务业等支出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5</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16</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十六、金融支出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6</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17</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十七、援助其他地区支出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7</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18</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十八、自然资源海洋气象等支出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8</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19</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十九、住房保障支出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49</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71.16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20</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二十、粮油物资储备支出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0</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21</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二十一、国有资本经营预算支出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1</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22</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二十二、灾害防治及应急管理支出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2</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35.65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23</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二十三、其他支出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3</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12.92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24</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二十四、债务还本支出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4</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25</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二十五、债务付息支出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5</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26</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二十六、抗疫特别国债安排的支出</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6</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本年收入合计</w:t>
            </w: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27</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3,256.88 </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本年支出合计</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7</w:t>
            </w:r>
          </w:p>
        </w:tc>
        <w:tc>
          <w:tcPr>
            <w:tcW w:w="434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3,256.88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使用非财政拨款结余（含专用结余）</w:t>
            </w: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28</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结余分配</w:t>
            </w:r>
          </w:p>
        </w:tc>
        <w:tc>
          <w:tcPr>
            <w:tcW w:w="7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8</w:t>
            </w:r>
          </w:p>
        </w:tc>
        <w:tc>
          <w:tcPr>
            <w:tcW w:w="4344" w:type="dxa"/>
            <w:tcBorders>
              <w:top w:val="nil"/>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年初结转和结余</w:t>
            </w:r>
          </w:p>
        </w:tc>
        <w:tc>
          <w:tcPr>
            <w:tcW w:w="8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29</w:t>
            </w:r>
          </w:p>
        </w:tc>
        <w:tc>
          <w:tcPr>
            <w:tcW w:w="443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年末结转和结余</w:t>
            </w:r>
          </w:p>
        </w:tc>
        <w:tc>
          <w:tcPr>
            <w:tcW w:w="767" w:type="dxa"/>
            <w:tcBorders>
              <w:top w:val="nil"/>
              <w:left w:val="nil"/>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i w:val="0"/>
                <w:iCs w:val="0"/>
                <w:color w:val="000000" w:themeColor="text1"/>
                <w:sz w:val="22"/>
                <w:szCs w:val="22"/>
                <w:u w:val="none"/>
                <w:lang w:val="en-US" w:eastAsia="zh-CN"/>
                <w14:textFill>
                  <w14:solidFill>
                    <w14:schemeClr w14:val="tx1"/>
                  </w14:solidFill>
                </w14:textFill>
              </w:rPr>
              <w:t>59</w:t>
            </w:r>
          </w:p>
        </w:tc>
        <w:tc>
          <w:tcPr>
            <w:tcW w:w="43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437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总计</w:t>
            </w:r>
          </w:p>
        </w:tc>
        <w:tc>
          <w:tcPr>
            <w:tcW w:w="8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0</w:t>
            </w:r>
          </w:p>
        </w:tc>
        <w:tc>
          <w:tcPr>
            <w:tcW w:w="4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3,256.88 </w:t>
            </w:r>
          </w:p>
        </w:tc>
        <w:tc>
          <w:tcPr>
            <w:tcW w:w="44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总计</w:t>
            </w:r>
          </w:p>
        </w:tc>
        <w:tc>
          <w:tcPr>
            <w:tcW w:w="767" w:type="dxa"/>
            <w:tcBorders>
              <w:top w:val="nil"/>
              <w:left w:val="nil"/>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w:t>
            </w:r>
            <w:r>
              <w:rPr>
                <w:rFonts w:hint="default" w:ascii="Times New Roman" w:hAnsi="Times New Roman" w:cs="Times New Roman"/>
                <w:b/>
                <w:bCs/>
                <w:i w:val="0"/>
                <w:iCs w:val="0"/>
                <w:color w:val="000000" w:themeColor="text1"/>
                <w:kern w:val="0"/>
                <w:sz w:val="22"/>
                <w:szCs w:val="22"/>
                <w:u w:val="none"/>
                <w:lang w:val="en-US" w:eastAsia="zh-CN" w:bidi="ar"/>
                <w14:textFill>
                  <w14:solidFill>
                    <w14:schemeClr w14:val="tx1"/>
                  </w14:solidFill>
                </w14:textFill>
              </w:rPr>
              <w:t>0</w:t>
            </w:r>
          </w:p>
        </w:tc>
        <w:tc>
          <w:tcPr>
            <w:tcW w:w="43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3,256.88</w:t>
            </w:r>
          </w:p>
        </w:tc>
      </w:tr>
    </w:tbl>
    <w:p>
      <w:pPr>
        <w:pStyle w:val="9"/>
        <w:numPr>
          <w:ilvl w:val="0"/>
          <w:numId w:val="0"/>
        </w:numPr>
        <w:autoSpaceDE w:val="0"/>
        <w:rPr>
          <w:rFonts w:hint="default" w:ascii="Times New Roman" w:hAnsi="Times New Roman" w:eastAsia="宋体" w:cs="Times New Roman"/>
          <w:color w:val="000000" w:themeColor="text1"/>
          <w:sz w:val="21"/>
          <w:szCs w:val="21"/>
          <w:lang w:val="en-US" w:eastAsia="zh-CN"/>
          <w14:textFill>
            <w14:solidFill>
              <w14:schemeClr w14:val="tx1"/>
            </w14:solidFill>
          </w14:textFill>
        </w:rPr>
        <w:sectPr>
          <w:headerReference r:id="rId4" w:type="default"/>
          <w:footerReference r:id="rId5" w:type="default"/>
          <w:pgSz w:w="23811" w:h="16838" w:orient="landscape"/>
          <w:pgMar w:top="567" w:right="454" w:bottom="567" w:left="1037" w:header="0" w:footer="283" w:gutter="0"/>
          <w:pgNumType w:fmt="numberInDash"/>
          <w:cols w:space="720" w:num="1"/>
          <w:docGrid w:type="lines" w:linePitch="312" w:charSpace="0"/>
        </w:sectPr>
      </w:pPr>
    </w:p>
    <w:p>
      <w:pPr>
        <w:pStyle w:val="9"/>
        <w:numPr>
          <w:ilvl w:val="0"/>
          <w:numId w:val="0"/>
        </w:numPr>
        <w:autoSpaceDE w:val="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bl>
      <w:tblPr>
        <w:tblStyle w:val="6"/>
        <w:tblW w:w="2244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7"/>
        <w:gridCol w:w="500"/>
        <w:gridCol w:w="484"/>
        <w:gridCol w:w="4166"/>
        <w:gridCol w:w="2403"/>
        <w:gridCol w:w="2403"/>
        <w:gridCol w:w="2403"/>
        <w:gridCol w:w="2403"/>
        <w:gridCol w:w="2403"/>
        <w:gridCol w:w="2403"/>
        <w:gridCol w:w="240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2443" w:type="dxa"/>
            <w:gridSpan w:val="11"/>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sz w:val="30"/>
                <w:szCs w:val="3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30"/>
                <w:szCs w:val="30"/>
                <w:u w:val="none"/>
                <w:lang w:val="en-US" w:eastAsia="zh-CN" w:bidi="ar"/>
                <w14:textFill>
                  <w14:solidFill>
                    <w14:schemeClr w14:val="tx1"/>
                  </w14:solidFill>
                </w14:textFill>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20035" w:type="dxa"/>
            <w:gridSpan w:val="10"/>
            <w:tcBorders>
              <w:top w:val="nil"/>
              <w:left w:val="nil"/>
              <w:bottom w:val="nil"/>
              <w:right w:val="nil"/>
            </w:tcBorders>
            <w:shd w:val="clear" w:color="auto" w:fill="auto"/>
            <w:vAlign w:val="bottom"/>
          </w:tcPr>
          <w:p>
            <w:pP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1"/>
                <w:szCs w:val="21"/>
                <w:lang w:eastAsia="zh-CN"/>
                <w14:textFill>
                  <w14:solidFill>
                    <w14:schemeClr w14:val="tx1"/>
                  </w14:solidFill>
                </w14:textFill>
              </w:rPr>
              <w:t>部门</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u w:color="auto"/>
                <w14:textFill>
                  <w14:solidFill>
                    <w14:schemeClr w14:val="tx1"/>
                  </w14:solidFill>
                </w14:textFill>
              </w:rPr>
              <w:t>巫溪县土城镇人民政府</w:t>
            </w:r>
          </w:p>
        </w:tc>
        <w:tc>
          <w:tcPr>
            <w:tcW w:w="2408" w:type="dxa"/>
            <w:tcBorders>
              <w:top w:val="nil"/>
              <w:left w:val="nil"/>
              <w:right w:val="nil"/>
            </w:tcBorders>
            <w:shd w:val="clear" w:color="auto" w:fill="auto"/>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02表</w:t>
            </w:r>
          </w:p>
          <w:p>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单位：</w:t>
            </w: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科目代码</w:t>
            </w:r>
          </w:p>
        </w:tc>
        <w:tc>
          <w:tcPr>
            <w:tcW w:w="416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科目名称</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本年收入合计</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财政拨款收入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上级补助收入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事业收入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经营收入</w:t>
            </w:r>
          </w:p>
        </w:tc>
        <w:tc>
          <w:tcPr>
            <w:tcW w:w="2403"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附属单位上缴收入</w:t>
            </w:r>
          </w:p>
        </w:tc>
        <w:tc>
          <w:tcPr>
            <w:tcW w:w="2408"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4166"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4166"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45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4166"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3"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8"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67"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类</w:t>
            </w:r>
          </w:p>
        </w:tc>
        <w:tc>
          <w:tcPr>
            <w:tcW w:w="50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款</w:t>
            </w:r>
          </w:p>
        </w:tc>
        <w:tc>
          <w:tcPr>
            <w:tcW w:w="484"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栏次</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w:t>
            </w:r>
          </w:p>
        </w:tc>
        <w:tc>
          <w:tcPr>
            <w:tcW w:w="240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67"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500"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484"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合计</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3,256.88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3,256.88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40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40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201</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一般公共服务支出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616.06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616.06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20101</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人大事务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5.30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5.30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2010108</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代表工作</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5.30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5.30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20103</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政府办公厅（室）及相关机构事务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604.26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604.26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2010301</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行政运行</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406.95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406.95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2010302</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一般行政管理事务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2010350</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事业运行</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177.31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177.31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20129</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群众团体事务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6.50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6.50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2012999</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其他群众团体事务支出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6.50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6.50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207</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文化旅游体育与传媒支出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20703</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体育</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2070307</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体育场馆</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208</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社会保障和就业支出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181.56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181.56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20802</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民政管理事务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26.87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26.87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2080208</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基层政权建设和社区治理</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26.87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26.87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20805</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行政事业单位养老支出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134.19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134.19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2080501</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行政单位离退休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16.99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16.99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2080502</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事业单位离退休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9.40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9.40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2080505</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机关事业单位基本养老保险缴费支出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70.67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70.67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2080506</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机关事业单位职业年金缴费支出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37.13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37.13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20808</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抚恤</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6.16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6.16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2080801</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死亡抚恤</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6.16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6.16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20820</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临时救助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13.54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13.54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2082001</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临时救助支出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13.54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13.54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20825</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其他生活救助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0.80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0.80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2082502</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其他农村生活救助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0.80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0.80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210</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卫生健康支出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39.62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39.62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21011</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行政事业单位医疗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39.62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39.62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2101101</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行政单位医疗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30.59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30.59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2101102</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事业单位医疗</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9.04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9.04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211</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节能环保支出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60.32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60.32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21104</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自然生态保护</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60.32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60.32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2110401</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生态保护</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60.32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60.32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212</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城乡社区支出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64.93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64.93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21203</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城乡社区公共设施</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64.93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64.93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2120399</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其他城乡社区公共设施支出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64.93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64.93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213</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农林水支出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1,882.30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1,882.30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21301</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农业农村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34.19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34.19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2130108</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病虫害控制</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13.57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13.57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2130153</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耕地建设与利用</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20.62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20.62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21303</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水利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47.16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47.16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2130315</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抗旱</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37.21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37.21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2130335</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农村供水</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9.95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9.95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21305</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巩固脱贫攻坚成果衔接乡村振兴</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1,485.19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1,485.19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2130504</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农村基础设施建设</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124.07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124.07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2130505</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生产发展</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1,051.60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1,051.60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2130599</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其他巩固脱贫攻坚成果衔接乡村振兴支出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309.52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309.52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21307</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农村综合改革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315.75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315.75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2130701</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对村级公益事业建设的补助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2130705</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对村民委员会和村党支部的补助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285.75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285.75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214</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交通运输支出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290.97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290.97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21401</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公路水路运输</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290.97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290.97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2140104</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公路建设</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290.97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290.97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221</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住房保障支出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71.16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71.16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22101</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保障性安居工程支出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18.25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18.25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2210105</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农村危房改造</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18.25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18.25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22102</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住房改革支出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52.91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52.91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2210201</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住房公积金</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52.91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52.91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224</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灾害防治及应急管理支出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35.65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35.65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22401</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应急管理事务</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16.29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16.29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2240199</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其他应急管理支出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16.29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16.29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22407</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自然灾害救灾及恢复重建支出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19.36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19.36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2240703</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自然灾害救灾补助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2.50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2.50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2240704</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自然灾害灾后重建补助</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12.09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12.09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2240799</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其他自然灾害救灾及恢复重建支出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4.76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4.76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229</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其他支出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12.92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12.92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22960</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彩票公益金安排的支出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12.92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12.92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45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2296002</w:t>
            </w:r>
          </w:p>
        </w:tc>
        <w:tc>
          <w:tcPr>
            <w:tcW w:w="41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用于社会福利的彩票公益金支出</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12.92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12.92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bl>
    <w:p>
      <w:pPr>
        <w:numPr>
          <w:ilvl w:val="0"/>
          <w:numId w:val="0"/>
        </w:numP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br w:type="page"/>
      </w:r>
    </w:p>
    <w:tbl>
      <w:tblPr>
        <w:tblStyle w:val="6"/>
        <w:tblW w:w="2244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4"/>
        <w:gridCol w:w="567"/>
        <w:gridCol w:w="600"/>
        <w:gridCol w:w="4316"/>
        <w:gridCol w:w="2737"/>
        <w:gridCol w:w="2737"/>
        <w:gridCol w:w="2737"/>
        <w:gridCol w:w="2737"/>
        <w:gridCol w:w="2737"/>
        <w:gridCol w:w="27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2443" w:type="dxa"/>
            <w:gridSpan w:val="10"/>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sz w:val="30"/>
                <w:szCs w:val="3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30"/>
                <w:szCs w:val="30"/>
                <w:u w:val="none"/>
                <w:lang w:val="en-US" w:eastAsia="zh-CN" w:bidi="ar"/>
                <w14:textFill>
                  <w14:solidFill>
                    <w14:schemeClr w14:val="tx1"/>
                  </w14:solidFill>
                </w14:textFill>
              </w:rPr>
              <w:t>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9702" w:type="dxa"/>
            <w:gridSpan w:val="9"/>
            <w:vMerge w:val="restart"/>
            <w:tcBorders>
              <w:top w:val="nil"/>
              <w:left w:val="nil"/>
              <w:right w:val="nil"/>
            </w:tcBorders>
            <w:shd w:val="clear" w:color="auto" w:fill="auto"/>
            <w:vAlign w:val="bottom"/>
          </w:tcPr>
          <w:p>
            <w:pP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lang w:eastAsia="zh-CN"/>
                <w14:textFill>
                  <w14:solidFill>
                    <w14:schemeClr w14:val="tx1"/>
                  </w14:solidFill>
                </w14:textFill>
              </w:rPr>
              <w:t>部门</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u w:color="auto"/>
                <w14:textFill>
                  <w14:solidFill>
                    <w14:schemeClr w14:val="tx1"/>
                  </w14:solidFill>
                </w14:textFill>
              </w:rPr>
              <w:t xml:space="preserve">巫溪县土城镇人民政府 </w:t>
            </w:r>
          </w:p>
        </w:tc>
        <w:tc>
          <w:tcPr>
            <w:tcW w:w="2741"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03表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9702" w:type="dxa"/>
            <w:gridSpan w:val="9"/>
            <w:vMerge w:val="continue"/>
            <w:tcBorders>
              <w:left w:val="nil"/>
              <w:bottom w:val="nil"/>
              <w:right w:val="nil"/>
            </w:tcBorders>
            <w:shd w:val="clear" w:color="auto" w:fill="auto"/>
            <w:vAlign w:val="bottom"/>
          </w:tcPr>
          <w:p>
            <w:pP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c>
          <w:tcPr>
            <w:tcW w:w="2741"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单位：</w:t>
            </w: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科目代码</w:t>
            </w:r>
          </w:p>
        </w:tc>
        <w:tc>
          <w:tcPr>
            <w:tcW w:w="431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科目名称</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本年支出合计</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基本支出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项目支出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上缴上级支出</w:t>
            </w:r>
          </w:p>
        </w:tc>
        <w:tc>
          <w:tcPr>
            <w:tcW w:w="2737"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经营支出</w:t>
            </w:r>
          </w:p>
        </w:tc>
        <w:tc>
          <w:tcPr>
            <w:tcW w:w="2741"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4316"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4316"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7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4316"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737"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741"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34"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类</w:t>
            </w:r>
          </w:p>
        </w:tc>
        <w:tc>
          <w:tcPr>
            <w:tcW w:w="56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款</w:t>
            </w:r>
          </w:p>
        </w:tc>
        <w:tc>
          <w:tcPr>
            <w:tcW w:w="60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栏次</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w:t>
            </w:r>
          </w:p>
        </w:tc>
        <w:tc>
          <w:tcPr>
            <w:tcW w:w="274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34"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567"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600"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合计</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3,256.88 </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866.75 </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2,390.14 </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7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741"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201</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一般公共服务支出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616.06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584.26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31.80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20101</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人大事务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5.30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5.30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2010108</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代表工作</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5.30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5.30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20103</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政府办公厅（室）及相关机构事务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604.26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584.26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2010301</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行政运行</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406.95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406.95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2010302</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一般行政管理事务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2010350</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事业运行</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177.31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177.31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20129</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群众团体事务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6.50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6.50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2012999</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其他群众团体事务支出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6.50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6.50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207</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文化旅游体育与传媒支出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20703</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体育</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2070307</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体育场馆</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208</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社会保障和就业支出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181.56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140.36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41.20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20802</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民政管理事务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26.87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26.87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2080208</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基层政权建设和社区治理</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26.87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26.87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20805</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行政事业单位养老支出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134.19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134.19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2080501</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行政单位离退休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16.99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16.99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2080502</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事业单位离退休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9.40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9.40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2080505</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机关事业单位基本养老保险缴费支出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70.67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70.67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2080506</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机关事业单位职业年金缴费支出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37.13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37.13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20808</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抚恤</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6.16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6.16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2080801</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死亡抚恤</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6.16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6.16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20820</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临时救助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13.54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13.54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2082001</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临时救助支出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13.54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13.54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20825</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其他生活救助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0.80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0.80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2082502</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其他农村生活救助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0.80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0.80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210</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卫生健康支出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39.62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39.62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21011</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行政事业单位医疗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39.62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39.62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2101101</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行政单位医疗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2101102</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事业单位医疗</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9.04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9.04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211</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节能环保支出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60.32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60.32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21104</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自然生态保护</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60.32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60.32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2110401</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生态保护</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60.32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60.32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212</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城乡社区支出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64.93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64.93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21203</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城乡社区公共设施</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64.93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64.93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2120399</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其他城乡社区公共设施支出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64.93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64.93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213</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农林水支出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1,882.30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49.59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1,832.70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21301</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农业农村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34.19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34.19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2130108</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病虫害控制</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13.57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13.57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2130153</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耕地建设与利用</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20.62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20.62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21303</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水利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47.16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47.16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2130315</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抗旱</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37.21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37.21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2130335</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农村供水</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9.95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9.95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21305</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巩固脱贫攻坚成果衔接乡村振兴</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1,485.19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49.59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1,435.60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2130504</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农村基础设施建设</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124.07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124.07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2130505</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生产发展</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1,051.60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1,051.60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2130599</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其他巩固脱贫攻坚成果衔接乡村振兴支出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309.52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49.59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259.93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21307</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农村综合改革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315.75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315.75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2130701</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对村级公益事业建设的补助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30.00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2130705</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对村民委员会和村党支部的补助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285.75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285.75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214</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交通运输支出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290.97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290.97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21401</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公路水路运输</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290.97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290.97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2140104</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公路建设</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290.97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290.97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221</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住房保障支出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71.16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52.91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18.25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22101</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保障性安居工程支出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18.25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18.25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2210105</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农村危房改造</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18.25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18.25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22102</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住房改革支出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52.91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52.91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2210201</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住房公积金</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52.91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52.91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224</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灾害防治及应急管理支出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35.65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35.65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22401</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应急管理事务</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16.29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16.29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2240199</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其他应急管理支出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16.29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16.29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22407</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自然灾害救灾及恢复重建支出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19.36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19.36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2240703</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自然灾害救灾补助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2.50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2.50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2240704</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自然灾害灾后重建补助</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12.09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12.09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2240799</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其他自然灾害救灾及恢复重建支出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4.76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4.76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229</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其他支出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12.92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12.92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22960</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b/>
                <w:color w:val="000000" w:themeColor="text1"/>
                <w:sz w:val="22"/>
                <w:szCs w:val="22"/>
                <w14:textFill>
                  <w14:solidFill>
                    <w14:schemeClr w14:val="tx1"/>
                  </w14:solidFill>
                </w14:textFill>
              </w:rPr>
              <w:t>彩票公益金安排的支出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12.92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12.92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bCs w:val="0"/>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7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2296002</w:t>
            </w:r>
          </w:p>
        </w:tc>
        <w:tc>
          <w:tcPr>
            <w:tcW w:w="43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用于社会福利的彩票公益金支出</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12.92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12.92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3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bl>
    <w:p>
      <w:pPr>
        <w:numPr>
          <w:ilvl w:val="0"/>
          <w:numId w:val="0"/>
        </w:numP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br w:type="page"/>
      </w:r>
    </w:p>
    <w:tbl>
      <w:tblPr>
        <w:tblStyle w:val="6"/>
        <w:tblW w:w="223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225"/>
        <w:gridCol w:w="683"/>
        <w:gridCol w:w="2700"/>
        <w:gridCol w:w="3583"/>
        <w:gridCol w:w="717"/>
        <w:gridCol w:w="2872"/>
        <w:gridCol w:w="2872"/>
        <w:gridCol w:w="2872"/>
        <w:gridCol w:w="287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jc w:val="center"/>
        </w:trPr>
        <w:tc>
          <w:tcPr>
            <w:tcW w:w="22398" w:type="dxa"/>
            <w:gridSpan w:val="9"/>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sz w:val="30"/>
                <w:szCs w:val="3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30"/>
                <w:szCs w:val="30"/>
                <w:u w:val="none"/>
                <w:lang w:val="en-US" w:eastAsia="zh-CN" w:bidi="ar"/>
                <w14:textFill>
                  <w14:solidFill>
                    <w14:schemeClr w14:val="tx1"/>
                  </w14:solidFill>
                </w14:textFill>
              </w:rPr>
              <w:t>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9524" w:type="dxa"/>
            <w:gridSpan w:val="8"/>
            <w:vMerge w:val="restart"/>
            <w:tcBorders>
              <w:top w:val="nil"/>
              <w:left w:val="nil"/>
              <w:right w:val="nil"/>
            </w:tcBorders>
            <w:shd w:val="clear" w:color="auto" w:fill="auto"/>
            <w:vAlign w:val="bottom"/>
          </w:tcPr>
          <w:p>
            <w:pP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lang w:eastAsia="zh-CN"/>
                <w14:textFill>
                  <w14:solidFill>
                    <w14:schemeClr w14:val="tx1"/>
                  </w14:solidFill>
                </w14:textFill>
              </w:rPr>
              <w:t>部门</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u w:color="auto"/>
                <w14:textFill>
                  <w14:solidFill>
                    <w14:schemeClr w14:val="tx1"/>
                  </w14:solidFill>
                </w14:textFill>
              </w:rPr>
              <w:t>巫溪县土城镇人民政府</w:t>
            </w:r>
          </w:p>
        </w:tc>
        <w:tc>
          <w:tcPr>
            <w:tcW w:w="2874"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04表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jc w:val="center"/>
        </w:trPr>
        <w:tc>
          <w:tcPr>
            <w:tcW w:w="19524" w:type="dxa"/>
            <w:gridSpan w:val="8"/>
            <w:vMerge w:val="continue"/>
            <w:tcBorders>
              <w:left w:val="nil"/>
              <w:bottom w:val="nil"/>
              <w:right w:val="nil"/>
            </w:tcBorders>
            <w:shd w:val="clear" w:color="auto" w:fill="auto"/>
            <w:vAlign w:val="bottom"/>
          </w:tcPr>
          <w:p>
            <w:pP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c>
          <w:tcPr>
            <w:tcW w:w="2874"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单位：</w:t>
            </w: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660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收     入</w:t>
            </w:r>
          </w:p>
        </w:tc>
        <w:tc>
          <w:tcPr>
            <w:tcW w:w="157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3" w:hRule="atLeast"/>
          <w:jc w:val="center"/>
        </w:trPr>
        <w:tc>
          <w:tcPr>
            <w:tcW w:w="32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项目</w:t>
            </w:r>
          </w:p>
        </w:tc>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行次</w:t>
            </w:r>
          </w:p>
        </w:tc>
        <w:tc>
          <w:tcPr>
            <w:tcW w:w="2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金额</w:t>
            </w:r>
          </w:p>
        </w:tc>
        <w:tc>
          <w:tcPr>
            <w:tcW w:w="358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项目</w:t>
            </w:r>
          </w:p>
        </w:tc>
        <w:tc>
          <w:tcPr>
            <w:tcW w:w="71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行次</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合计</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一般公共预算财政拨款</w:t>
            </w:r>
          </w:p>
        </w:tc>
        <w:tc>
          <w:tcPr>
            <w:tcW w:w="287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政府性基金预算财政拨款</w:t>
            </w:r>
          </w:p>
        </w:tc>
        <w:tc>
          <w:tcPr>
            <w:tcW w:w="2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国有资本经营预算财政拨款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32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358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71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87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栏次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栏次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一、一般公共预算财政拨款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3,243.96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一、一般公共服务支出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616.06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616.06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二、政府性基金预算财政拨款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12.92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二、外交支出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三、国有资本经营预算财政拨款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三、国防支出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四、公共安全支出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五、教育支出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六、科学技术支出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七、文化旅游体育与传媒支出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1.39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1.39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八、社会保障和就业支出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181.56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181.56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九、卫生健康支出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39.62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39.62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十、节能环保支出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60.32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60.32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十一、城乡社区支出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64.93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64.93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十二、农林水支出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1,882.30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1,882.30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十三、交通运输支出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290.97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290.97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十四、资源勘探工业信息等支出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十五、商业服务业等支出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十六、金融支出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十七、援助其他地区支出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十八、自然资源海洋气象等支出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十九、住房保障支出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71.16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71.16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二十、粮油物资储备支出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二十一、国有资本经营预算支出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二十二、灾害防治及应急管理支出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35.65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35.65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23</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二十三、其他支出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55</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12.92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12.92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24</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二十四、债务还本支出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56</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25</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二十五、债务付息支出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57</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26</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二十六、抗疫特别国债安排的支出</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58</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本年收入合计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27</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3,256.88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本年支出合计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59</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3,256.88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3,243.96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12.92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年初结转和结余</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28</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年末结转和结余</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60</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一般公共预算财政拨款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29</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61</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36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政府性基金预算财政拨款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30</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62</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国有资本经营预算财政拨款</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31</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left"/>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63</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32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总计</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32</w:t>
            </w:r>
          </w:p>
        </w:tc>
        <w:tc>
          <w:tcPr>
            <w:tcW w:w="2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3,256.88 </w:t>
            </w:r>
          </w:p>
        </w:tc>
        <w:tc>
          <w:tcPr>
            <w:tcW w:w="3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总计</w:t>
            </w:r>
          </w:p>
        </w:tc>
        <w:tc>
          <w:tcPr>
            <w:tcW w:w="7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64</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3,256.88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3,243.96 </w:t>
            </w:r>
          </w:p>
        </w:tc>
        <w:tc>
          <w:tcPr>
            <w:tcW w:w="28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12.92 </w:t>
            </w:r>
          </w:p>
        </w:tc>
        <w:tc>
          <w:tcPr>
            <w:tcW w:w="28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r>
    </w:tbl>
    <w:p>
      <w:pP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br w:type="page"/>
      </w:r>
    </w:p>
    <w:tbl>
      <w:tblPr>
        <w:tblStyle w:val="6"/>
        <w:tblW w:w="23039" w:type="dxa"/>
        <w:tblInd w:w="-22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
        <w:gridCol w:w="316"/>
        <w:gridCol w:w="334"/>
        <w:gridCol w:w="1816"/>
        <w:gridCol w:w="1528"/>
        <w:gridCol w:w="1378"/>
        <w:gridCol w:w="1494"/>
        <w:gridCol w:w="1784"/>
        <w:gridCol w:w="1666"/>
        <w:gridCol w:w="1684"/>
        <w:gridCol w:w="1750"/>
        <w:gridCol w:w="1700"/>
        <w:gridCol w:w="1733"/>
        <w:gridCol w:w="1583"/>
        <w:gridCol w:w="1334"/>
        <w:gridCol w:w="1466"/>
        <w:gridCol w:w="11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23039" w:type="dxa"/>
            <w:gridSpan w:val="17"/>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sz w:val="30"/>
                <w:szCs w:val="3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30"/>
                <w:szCs w:val="30"/>
                <w:u w:val="none"/>
                <w:lang w:val="en-US" w:eastAsia="zh-CN" w:bidi="ar"/>
                <w14:textFill>
                  <w14:solidFill>
                    <w14:schemeClr w14:val="tx1"/>
                  </w14:solidFill>
                </w14:textFill>
              </w:rPr>
              <w:t>一般公共预算财政拨款收入支出决算表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21883" w:type="dxa"/>
            <w:gridSpan w:val="16"/>
            <w:vMerge w:val="restart"/>
            <w:tcBorders>
              <w:top w:val="nil"/>
              <w:left w:val="nil"/>
              <w:right w:val="nil"/>
            </w:tcBorders>
            <w:shd w:val="clear" w:color="auto" w:fill="auto"/>
            <w:vAlign w:val="bottom"/>
          </w:tcPr>
          <w:p>
            <w:pP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lang w:eastAsia="zh-CN"/>
                <w14:textFill>
                  <w14:solidFill>
                    <w14:schemeClr w14:val="tx1"/>
                  </w14:solidFill>
                </w14:textFill>
              </w:rPr>
              <w:t>部门</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u w:color="auto"/>
                <w14:textFill>
                  <w14:solidFill>
                    <w14:schemeClr w14:val="tx1"/>
                  </w14:solidFill>
                </w14:textFill>
              </w:rPr>
              <w:t>巫溪县土城镇人民政府</w:t>
            </w:r>
          </w:p>
        </w:tc>
        <w:tc>
          <w:tcPr>
            <w:tcW w:w="115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05表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21883" w:type="dxa"/>
            <w:gridSpan w:val="16"/>
            <w:vMerge w:val="continue"/>
            <w:tcBorders>
              <w:left w:val="nil"/>
              <w:bottom w:val="nil"/>
              <w:right w:val="nil"/>
            </w:tcBorders>
            <w:shd w:val="clear" w:color="auto" w:fill="auto"/>
            <w:vAlign w:val="bottom"/>
          </w:tcPr>
          <w:p>
            <w:pP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c>
          <w:tcPr>
            <w:tcW w:w="115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单位：</w:t>
            </w: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4" w:hRule="atLeast"/>
        </w:trPr>
        <w:tc>
          <w:tcPr>
            <w:tcW w:w="9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科目代码</w:t>
            </w:r>
          </w:p>
        </w:tc>
        <w:tc>
          <w:tcPr>
            <w:tcW w:w="181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科目名称</w:t>
            </w:r>
          </w:p>
        </w:tc>
        <w:tc>
          <w:tcPr>
            <w:tcW w:w="4400"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年初结转和结余</w:t>
            </w:r>
          </w:p>
        </w:tc>
        <w:tc>
          <w:tcPr>
            <w:tcW w:w="513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本年收入</w:t>
            </w:r>
          </w:p>
        </w:tc>
        <w:tc>
          <w:tcPr>
            <w:tcW w:w="5183"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本年支出</w:t>
            </w:r>
          </w:p>
        </w:tc>
        <w:tc>
          <w:tcPr>
            <w:tcW w:w="5539"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52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合计</w:t>
            </w:r>
          </w:p>
        </w:tc>
        <w:tc>
          <w:tcPr>
            <w:tcW w:w="137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基本支出结转</w:t>
            </w:r>
          </w:p>
        </w:tc>
        <w:tc>
          <w:tcPr>
            <w:tcW w:w="149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项目支出结转和结余</w:t>
            </w:r>
          </w:p>
        </w:tc>
        <w:tc>
          <w:tcPr>
            <w:tcW w:w="178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合计</w:t>
            </w:r>
          </w:p>
        </w:tc>
        <w:tc>
          <w:tcPr>
            <w:tcW w:w="16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基本支出</w:t>
            </w:r>
          </w:p>
        </w:tc>
        <w:tc>
          <w:tcPr>
            <w:tcW w:w="168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项目支出</w:t>
            </w:r>
          </w:p>
        </w:tc>
        <w:tc>
          <w:tcPr>
            <w:tcW w:w="175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合计</w:t>
            </w:r>
          </w:p>
        </w:tc>
        <w:tc>
          <w:tcPr>
            <w:tcW w:w="170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基本支出</w:t>
            </w:r>
          </w:p>
        </w:tc>
        <w:tc>
          <w:tcPr>
            <w:tcW w:w="173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项目支出</w:t>
            </w:r>
          </w:p>
        </w:tc>
        <w:tc>
          <w:tcPr>
            <w:tcW w:w="158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合计</w:t>
            </w:r>
          </w:p>
        </w:tc>
        <w:tc>
          <w:tcPr>
            <w:tcW w:w="13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基本支出结转</w:t>
            </w:r>
          </w:p>
        </w:tc>
        <w:tc>
          <w:tcPr>
            <w:tcW w:w="262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项目支出结转和结余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52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49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7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6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6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7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7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4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项目支出结转</w:t>
            </w:r>
          </w:p>
        </w:tc>
        <w:tc>
          <w:tcPr>
            <w:tcW w:w="115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项目支出结余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52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3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49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7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6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6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7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7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4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15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1" w:hRule="atLeast"/>
        </w:trPr>
        <w:tc>
          <w:tcPr>
            <w:tcW w:w="317"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类</w:t>
            </w:r>
          </w:p>
        </w:tc>
        <w:tc>
          <w:tcPr>
            <w:tcW w:w="31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款</w:t>
            </w:r>
          </w:p>
        </w:tc>
        <w:tc>
          <w:tcPr>
            <w:tcW w:w="3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栏次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7</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8</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9</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10</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11</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12</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317"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31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合计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0.00</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3,243.96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866.75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2,377.21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3,243.96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866.75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2,377.21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一般公共服务支出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616.06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584.26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31.80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616.06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584.26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31.80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20101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人大事务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5.30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5.30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5.30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5.30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2010108</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代表工作</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5.30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5.30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5.30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5.30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20103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政府办公厅（室）及相关机构事务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604.26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584.26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604.26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584.26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2010301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行政运行</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406.95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406.95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406.95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406.95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2010302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一般行政管理事务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20.00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20.00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2010350</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事业运行</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177.31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177.31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177.31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177.31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20129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群众团体事务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6.50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6.50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6.50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6.50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2012999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其他群众团体事务支出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6.50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6.50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6.50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6.50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207</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文化旅游体育与传媒支出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1.39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1.39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20703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体育</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1.39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1.39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2070307</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体育场馆</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1.39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1.39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208</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社会保障和就业支出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181.56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140.36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41.20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181.56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140.36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41.20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20802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民政管理事务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26.87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26.87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26.87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26.87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2080208</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基层政权建设和社区治理</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26.87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26.87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26.87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26.87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20805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行政事业单位养老支出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134.19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134.19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134.19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134.19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2080501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行政单位离退休</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16.99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16.99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16.99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16.99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2080502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事业单位离退休</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9.40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9.40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9.40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9.40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2080505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机关事业单位基本养老保险缴费支出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70.67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70.67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70.67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70.67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2080506</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机关事业单位职业年金缴费支出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37.13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37.13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37.13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37.13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20808</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抚恤</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6.16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6.16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6.16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6.16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2080801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死亡抚恤</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6.16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6.16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6.16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6.16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20820</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临时救助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13.54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13.54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13.54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13.54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2082001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临时救助支出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13.54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13.54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13.54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13.54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20825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其他生活救助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0.80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0.80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0.80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0.80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2082502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其他农村生活救助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0.80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0.80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0.80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0.80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210</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卫生健康支出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39.62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39.62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39.62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39.62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21011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行政事业单位医疗</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39.62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39.62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39.62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39.62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2101101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行政单位医疗</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30.59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30.59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30.59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30.59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2101102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事业单位医疗</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9.04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9.04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9.04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9.04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211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节能环保支出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60.32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60.32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60.32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60.32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21104</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自然生态保护</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60.32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60.32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60.32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60.32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2110401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生态保护</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60.32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60.32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60.32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60.32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212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城乡社区支出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64.93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64.93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64.93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64.93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21203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城乡社区公共设施</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64.93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64.93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64.93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64.93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2120399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其他城乡社区公共设施支出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64.93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64.93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64.93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64.93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213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农林水支出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1,882.30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49.59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1,832.70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1,882.30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49.59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1,832.70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21301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农业农村</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34.19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34.19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34.19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34.19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2130108</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病虫害控制</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13.57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13.57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13.57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13.57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2130153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耕地建设与利用</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20.62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20.62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20.62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20.62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21303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水利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47.16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47.16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47.16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47.16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2130315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抗旱</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37.21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37.21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37.21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37.21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2130335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农村供水</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9.95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9.95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9.95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9.95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21305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巩固脱贫攻坚成果衔接乡村振兴</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1,485.19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49.59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1,435.60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1,485.19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49.59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1,435.60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2130504</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农村基础设施建设</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124.07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124.07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124.07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124.07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2130505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生产发展</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1,051.60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1,051.60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1,051.60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1,051.60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2130599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其他巩固脱贫攻坚成果衔接乡村振兴支出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309.52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49.59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259.93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309.52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49.59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259.93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21307</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农村综合改革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315.75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315.75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315.75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315.75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2130701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对村级公益事业建设的补助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30.00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30.00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30.00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2130705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对村民委员会和村党支部的补助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285.75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285.75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285.75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285.75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214</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交通运输支出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290.97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290.97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290.97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290.97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21401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公路水路运输</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290.97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290.97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290.97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290.97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2140104</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公路建设</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290.97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290.97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290.97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290.97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221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住房保障支出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71.16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52.91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18.25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71.16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52.91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18.25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22101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保障性安居工程支出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18.25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18.25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18.25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18.25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2210105</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农村危房改造</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18.25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18.25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18.25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18.25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22102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住房改革支出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52.91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52.91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52.91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52.91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2210201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住房公积金</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52.91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52.91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52.91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52.91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224</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灾害防治及应急管理支出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35.65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35.65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35.65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35.65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22401</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应急管理事务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16.29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16.29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16.29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16.29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2240199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其他应急管理支出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16.29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16.29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16.29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16.29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22407</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自然灾害救灾及恢复重建支出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19.36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19.36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19.36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19.36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2240703</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自然灾害救灾补助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2.50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2.50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2.50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2.50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2240704</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自然灾害灾后重建补助</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12.09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12.09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12.09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12.09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2240799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其他自然灾害救灾及恢复重建支出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4.76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4.76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4.76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4.76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bl>
    <w:p>
      <w:pPr>
        <w:numPr>
          <w:ilvl w:val="0"/>
          <w:numId w:val="0"/>
        </w:numP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br w:type="page"/>
      </w:r>
    </w:p>
    <w:tbl>
      <w:tblPr>
        <w:tblStyle w:val="6"/>
        <w:tblW w:w="2236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51"/>
        <w:gridCol w:w="3616"/>
        <w:gridCol w:w="2650"/>
        <w:gridCol w:w="1234"/>
        <w:gridCol w:w="2866"/>
        <w:gridCol w:w="2367"/>
        <w:gridCol w:w="1133"/>
        <w:gridCol w:w="4467"/>
        <w:gridCol w:w="268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2366" w:type="dxa"/>
            <w:gridSpan w:val="9"/>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sz w:val="30"/>
                <w:szCs w:val="3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30"/>
                <w:szCs w:val="30"/>
                <w:u w:val="none"/>
                <w:lang w:val="en-US" w:eastAsia="zh-CN" w:bidi="ar"/>
                <w14:textFill>
                  <w14:solidFill>
                    <w14:schemeClr w14:val="tx1"/>
                  </w14:solidFill>
                </w14:textFill>
              </w:rPr>
              <w:t>一般公共预算财政拨款基本支出决算明细表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5" w:hRule="atLeast"/>
        </w:trPr>
        <w:tc>
          <w:tcPr>
            <w:tcW w:w="19684" w:type="dxa"/>
            <w:gridSpan w:val="8"/>
            <w:vMerge w:val="restart"/>
            <w:tcBorders>
              <w:top w:val="nil"/>
              <w:left w:val="nil"/>
              <w:right w:val="nil"/>
            </w:tcBorders>
            <w:shd w:val="clear" w:color="auto" w:fill="auto"/>
            <w:vAlign w:val="bottom"/>
          </w:tcPr>
          <w:p>
            <w:pP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lang w:eastAsia="zh-CN"/>
                <w14:textFill>
                  <w14:solidFill>
                    <w14:schemeClr w14:val="tx1"/>
                  </w14:solidFill>
                </w14:textFill>
              </w:rPr>
              <w:t>部门</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u w:color="auto"/>
                <w14:textFill>
                  <w14:solidFill>
                    <w14:schemeClr w14:val="tx1"/>
                  </w14:solidFill>
                </w14:textFill>
              </w:rPr>
              <w:t>巫溪县土城镇人民政府</w:t>
            </w:r>
          </w:p>
        </w:tc>
        <w:tc>
          <w:tcPr>
            <w:tcW w:w="2682"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06表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9684" w:type="dxa"/>
            <w:gridSpan w:val="8"/>
            <w:vMerge w:val="continue"/>
            <w:tcBorders>
              <w:left w:val="nil"/>
              <w:bottom w:val="nil"/>
              <w:right w:val="nil"/>
            </w:tcBorders>
            <w:shd w:val="clear" w:color="auto" w:fill="auto"/>
            <w:vAlign w:val="bottom"/>
          </w:tcPr>
          <w:p>
            <w:pP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c>
          <w:tcPr>
            <w:tcW w:w="2682"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单位：</w:t>
            </w: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761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人员经费</w:t>
            </w:r>
          </w:p>
        </w:tc>
        <w:tc>
          <w:tcPr>
            <w:tcW w:w="14749" w:type="dxa"/>
            <w:gridSpan w:val="6"/>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科目代码</w:t>
            </w:r>
          </w:p>
        </w:tc>
        <w:tc>
          <w:tcPr>
            <w:tcW w:w="3616"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科目名称</w:t>
            </w:r>
          </w:p>
        </w:tc>
        <w:tc>
          <w:tcPr>
            <w:tcW w:w="265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决算数</w:t>
            </w:r>
          </w:p>
        </w:tc>
        <w:tc>
          <w:tcPr>
            <w:tcW w:w="1234"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科目代码</w:t>
            </w:r>
          </w:p>
        </w:tc>
        <w:tc>
          <w:tcPr>
            <w:tcW w:w="2866"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科目名称</w:t>
            </w:r>
          </w:p>
        </w:tc>
        <w:tc>
          <w:tcPr>
            <w:tcW w:w="236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决算数</w:t>
            </w:r>
          </w:p>
        </w:tc>
        <w:tc>
          <w:tcPr>
            <w:tcW w:w="1133"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科目代码</w:t>
            </w:r>
          </w:p>
        </w:tc>
        <w:tc>
          <w:tcPr>
            <w:tcW w:w="446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科目名称</w:t>
            </w:r>
          </w:p>
        </w:tc>
        <w:tc>
          <w:tcPr>
            <w:tcW w:w="2682"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8" w:hRule="atLeast"/>
        </w:trPr>
        <w:tc>
          <w:tcPr>
            <w:tcW w:w="1351"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361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650"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234"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86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367"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133"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4467"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682"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301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工资福利支出</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673.40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302</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商品和服务支出</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118.20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310</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资本性支出</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30101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基本工资</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144.19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30201</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办公费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9.55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31001</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房屋建筑物购建</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30102</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津贴补贴</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113.06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30202</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印刷费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8.00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31002</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办公设备购置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7.00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30103</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奖金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123.24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30203</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咨询费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31003</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专用设备购置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30106</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伙食补助费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30204</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手续费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31005</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基础设施建设</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30107</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绩效工资</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90.37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30205</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水费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0.45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31006</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大型修缮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30108</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机关事业单位基本养老保险缴费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70.67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30206</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电费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23.00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31007</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信息网络及软件购置更新</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30109</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职业年金缴费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37.13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30207</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邮电费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31008</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物资储备</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30110</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职工基本医疗保险缴费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39.62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30208</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取暖费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31009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土地补偿</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30111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公务员医疗补助缴费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30209</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物业管理费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31010</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安置补助</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30112</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其他社会保障缴费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2.20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30211</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差旅费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12.97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31011</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地上附着物和青苗补偿</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30113</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住房公积金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52.91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30212</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因公出国（境）费用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31012</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拆迁补偿</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30114</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医疗费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30213</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维修（护）费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7.79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31013</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公务用车购置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30199</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其他工资福利支出</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30214</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租赁费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31019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其他交通工具购置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303</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对个人和家庭的补助</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68.15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30215</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会议费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1.99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31021</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文物和陈列品购置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30301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离休费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30216</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培训费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31022</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无形资产购置</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30302</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退休费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30217</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公务接待费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3.00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31099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其他资本性支出</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30303</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退职（役）费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30218</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专用材料费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312</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对企业补助</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30304</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抚恤金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30224</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被装购置费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31201</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资本金注入</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30305</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生活补助</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54.95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30225</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专用燃料费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31203</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政府投资基金股权投资</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30306</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救济费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30226</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劳务费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1.48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31204</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费用补贴</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30307</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医疗费补助</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13.20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30227</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委托业务费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31205</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利息补贴</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30308</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助学金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30228</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工会经费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4.20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2"/>
                <w:szCs w:val="22"/>
                <w:u w:val="none"/>
                <w:lang w:val="en-US" w:eastAsia="zh-CN" w:bidi="ar"/>
                <w14:textFill>
                  <w14:solidFill>
                    <w14:schemeClr w14:val="tx1"/>
                  </w14:solidFill>
                </w14:textFill>
              </w:rPr>
              <w:t>31206</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i w:val="0"/>
                <w:iCs w:val="0"/>
                <w:color w:val="000000" w:themeColor="text1"/>
                <w:kern w:val="0"/>
                <w:sz w:val="22"/>
                <w:szCs w:val="22"/>
                <w:u w:val="none"/>
                <w:lang w:val="en-US" w:eastAsia="zh-CN" w:bidi="ar"/>
                <w14:textFill>
                  <w14:solidFill>
                    <w14:schemeClr w14:val="tx1"/>
                  </w14:solidFill>
                </w14:textFill>
              </w:rPr>
              <w:t xml:space="preserve">  其他资本性补助</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30309</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奖励金</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30229</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福利费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3.74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31299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其他对企业补助</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30310</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个人农业生产补贴</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30231</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公务用车运行维护费</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5.30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399</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其他支出</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30311</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代缴社会保险费</w:t>
            </w:r>
          </w:p>
        </w:tc>
        <w:tc>
          <w:tcPr>
            <w:tcW w:w="26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30239</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其他交通费用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22.13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39907</w:t>
            </w:r>
          </w:p>
        </w:tc>
        <w:tc>
          <w:tcPr>
            <w:tcW w:w="44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国家赔偿费用支出</w:t>
            </w:r>
          </w:p>
        </w:tc>
        <w:tc>
          <w:tcPr>
            <w:tcW w:w="2682" w:type="dxa"/>
            <w:tcBorders>
              <w:top w:val="nil"/>
              <w:left w:val="nil"/>
              <w:bottom w:val="nil"/>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30399</w:t>
            </w:r>
          </w:p>
        </w:tc>
        <w:tc>
          <w:tcPr>
            <w:tcW w:w="36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其他对个人和家庭的补助</w:t>
            </w:r>
          </w:p>
        </w:tc>
        <w:tc>
          <w:tcPr>
            <w:tcW w:w="2650" w:type="dxa"/>
            <w:tcBorders>
              <w:top w:val="nil"/>
              <w:left w:val="nil"/>
              <w:bottom w:val="nil"/>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 </w:t>
            </w: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30240</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税金及附加费用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39908</w:t>
            </w: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对民间非营利组织和群众性自治组织补贴</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30299</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其他商品和服务支出</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14.60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39909</w:t>
            </w: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经常性赠与</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307</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债务利息及费用支出</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39910</w:t>
            </w: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资本性赠与</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30701</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国内债务付息</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39999</w:t>
            </w: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其他支出</w:t>
            </w: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lang w:val="en-US" w:eastAsia="zh-CN"/>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30702</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国外债务付息</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30703</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国内债务发行费用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51"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3616"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overflowPunct/>
              <w:topLinePunct w:val="0"/>
              <w:autoSpaceDE/>
              <w:autoSpaceDN/>
              <w:bidi w:val="0"/>
              <w:adjustRightInd/>
              <w:snapToGrid/>
              <w:spacing w:line="340" w:lineRule="exact"/>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p>
        </w:tc>
        <w:tc>
          <w:tcPr>
            <w:tcW w:w="12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30704</w:t>
            </w:r>
          </w:p>
        </w:tc>
        <w:tc>
          <w:tcPr>
            <w:tcW w:w="28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lef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 xml:space="preserve">  国外债务发行费用</w:t>
            </w:r>
          </w:p>
        </w:tc>
        <w:tc>
          <w:tcPr>
            <w:tcW w:w="236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11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4467" w:type="dxa"/>
            <w:tcBorders>
              <w:top w:val="nil"/>
              <w:left w:val="nil"/>
              <w:bottom w:val="single" w:color="000000" w:sz="4" w:space="0"/>
              <w:right w:val="nil"/>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6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overflowPunct/>
              <w:topLinePunct w:val="0"/>
              <w:autoSpaceDE/>
              <w:autoSpaceDN/>
              <w:bidi w:val="0"/>
              <w:adjustRightInd/>
              <w:snapToGrid/>
              <w:spacing w:line="340" w:lineRule="exact"/>
              <w:jc w:val="righ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967" w:type="dxa"/>
            <w:gridSpan w:val="2"/>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人员经费合计</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val="0"/>
              <w:overflowPunct/>
              <w:topLinePunct w:val="0"/>
              <w:autoSpaceDE/>
              <w:autoSpaceDN/>
              <w:bidi w:val="0"/>
              <w:adjustRightInd/>
              <w:snapToGrid/>
              <w:spacing w:line="340" w:lineRule="exact"/>
              <w:jc w:val="right"/>
              <w:textAlignment w:val="bottom"/>
              <w:rPr>
                <w:rFonts w:hint="default" w:ascii="Times New Roman" w:hAnsi="Times New Roman" w:cs="Times New Roman" w:eastAsiaTheme="minorEastAsia"/>
                <w:i w:val="0"/>
                <w:iCs w:val="0"/>
                <w:color w:val="000000" w:themeColor="text1"/>
                <w:sz w:val="22"/>
                <w:szCs w:val="22"/>
                <w:u w:val="none"/>
                <w14:textFill>
                  <w14:solidFill>
                    <w14:schemeClr w14:val="tx1"/>
                  </w14:solidFill>
                </w14:textFill>
              </w:rPr>
            </w:pPr>
            <w:r>
              <w:rPr>
                <w:rFonts w:hint="default" w:ascii="Times New Roman" w:hAnsi="Times New Roman" w:cs="Times New Roman" w:eastAsiaTheme="minorEastAsia"/>
                <w:color w:val="000000" w:themeColor="text1"/>
                <w:sz w:val="22"/>
                <w:szCs w:val="22"/>
                <w14:textFill>
                  <w14:solidFill>
                    <w14:schemeClr w14:val="tx1"/>
                  </w14:solidFill>
                </w14:textFill>
              </w:rPr>
              <w:t xml:space="preserve">741.55 </w:t>
            </w:r>
          </w:p>
        </w:tc>
        <w:tc>
          <w:tcPr>
            <w:tcW w:w="12067" w:type="dxa"/>
            <w:gridSpan w:val="5"/>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340" w:lineRule="exact"/>
              <w:jc w:val="cente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公用经费合计</w:t>
            </w:r>
          </w:p>
        </w:tc>
        <w:tc>
          <w:tcPr>
            <w:tcW w:w="26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340" w:lineRule="exact"/>
              <w:jc w:val="righ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125.20 </w:t>
            </w:r>
          </w:p>
        </w:tc>
      </w:tr>
    </w:tbl>
    <w:p>
      <w:pP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br w:type="page"/>
      </w:r>
    </w:p>
    <w:tbl>
      <w:tblPr>
        <w:tblStyle w:val="6"/>
        <w:tblW w:w="23039" w:type="dxa"/>
        <w:tblInd w:w="-22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
        <w:gridCol w:w="316"/>
        <w:gridCol w:w="334"/>
        <w:gridCol w:w="1816"/>
        <w:gridCol w:w="1528"/>
        <w:gridCol w:w="1378"/>
        <w:gridCol w:w="1494"/>
        <w:gridCol w:w="1784"/>
        <w:gridCol w:w="1666"/>
        <w:gridCol w:w="1684"/>
        <w:gridCol w:w="1750"/>
        <w:gridCol w:w="1700"/>
        <w:gridCol w:w="1733"/>
        <w:gridCol w:w="1583"/>
        <w:gridCol w:w="1334"/>
        <w:gridCol w:w="1466"/>
        <w:gridCol w:w="11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3" w:hRule="atLeast"/>
        </w:trPr>
        <w:tc>
          <w:tcPr>
            <w:tcW w:w="23039" w:type="dxa"/>
            <w:gridSpan w:val="17"/>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sz w:val="30"/>
                <w:szCs w:val="3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30"/>
                <w:szCs w:val="30"/>
                <w:u w:val="none"/>
                <w:lang w:val="en-US" w:eastAsia="zh-CN" w:bidi="ar"/>
                <w14:textFill>
                  <w14:solidFill>
                    <w14:schemeClr w14:val="tx1"/>
                  </w14:solidFill>
                </w14:textFill>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21883" w:type="dxa"/>
            <w:gridSpan w:val="16"/>
            <w:vMerge w:val="restart"/>
            <w:tcBorders>
              <w:top w:val="nil"/>
              <w:left w:val="nil"/>
              <w:right w:val="nil"/>
            </w:tcBorders>
            <w:shd w:val="clear" w:color="auto" w:fill="auto"/>
            <w:vAlign w:val="bottom"/>
          </w:tcPr>
          <w:p>
            <w:pP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lang w:eastAsia="zh-CN"/>
                <w14:textFill>
                  <w14:solidFill>
                    <w14:schemeClr w14:val="tx1"/>
                  </w14:solidFill>
                </w14:textFill>
              </w:rPr>
              <w:t>部门</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u w:color="auto"/>
                <w14:textFill>
                  <w14:solidFill>
                    <w14:schemeClr w14:val="tx1"/>
                  </w14:solidFill>
                </w14:textFill>
              </w:rPr>
              <w:t>巫溪县土城镇人民政府</w:t>
            </w:r>
          </w:p>
        </w:tc>
        <w:tc>
          <w:tcPr>
            <w:tcW w:w="115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w:t>
            </w: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7</w:t>
            </w: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21883" w:type="dxa"/>
            <w:gridSpan w:val="16"/>
            <w:vMerge w:val="continue"/>
            <w:tcBorders>
              <w:left w:val="nil"/>
              <w:bottom w:val="nil"/>
              <w:right w:val="nil"/>
            </w:tcBorders>
            <w:shd w:val="clear" w:color="auto" w:fill="auto"/>
            <w:vAlign w:val="bottom"/>
          </w:tcPr>
          <w:p>
            <w:pP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c>
          <w:tcPr>
            <w:tcW w:w="115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单位：</w:t>
            </w: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96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科目代码</w:t>
            </w:r>
          </w:p>
        </w:tc>
        <w:tc>
          <w:tcPr>
            <w:tcW w:w="1816"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科目名称</w:t>
            </w:r>
          </w:p>
        </w:tc>
        <w:tc>
          <w:tcPr>
            <w:tcW w:w="4400"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年初结转和结余</w:t>
            </w:r>
          </w:p>
        </w:tc>
        <w:tc>
          <w:tcPr>
            <w:tcW w:w="5134"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本年收入</w:t>
            </w:r>
          </w:p>
        </w:tc>
        <w:tc>
          <w:tcPr>
            <w:tcW w:w="5183"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本年支出</w:t>
            </w:r>
          </w:p>
        </w:tc>
        <w:tc>
          <w:tcPr>
            <w:tcW w:w="5539"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4"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52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合计</w:t>
            </w:r>
          </w:p>
        </w:tc>
        <w:tc>
          <w:tcPr>
            <w:tcW w:w="1378"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基本支出结转</w:t>
            </w:r>
          </w:p>
        </w:tc>
        <w:tc>
          <w:tcPr>
            <w:tcW w:w="149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项目支出结转和结余</w:t>
            </w:r>
          </w:p>
        </w:tc>
        <w:tc>
          <w:tcPr>
            <w:tcW w:w="178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合计</w:t>
            </w:r>
          </w:p>
        </w:tc>
        <w:tc>
          <w:tcPr>
            <w:tcW w:w="16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基本支出</w:t>
            </w:r>
          </w:p>
        </w:tc>
        <w:tc>
          <w:tcPr>
            <w:tcW w:w="168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项目支出</w:t>
            </w:r>
          </w:p>
        </w:tc>
        <w:tc>
          <w:tcPr>
            <w:tcW w:w="175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合计</w:t>
            </w:r>
          </w:p>
        </w:tc>
        <w:tc>
          <w:tcPr>
            <w:tcW w:w="1700"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基本支出</w:t>
            </w:r>
          </w:p>
        </w:tc>
        <w:tc>
          <w:tcPr>
            <w:tcW w:w="173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项目支出</w:t>
            </w:r>
          </w:p>
        </w:tc>
        <w:tc>
          <w:tcPr>
            <w:tcW w:w="1583"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合计</w:t>
            </w:r>
          </w:p>
        </w:tc>
        <w:tc>
          <w:tcPr>
            <w:tcW w:w="13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基本支出结转</w:t>
            </w:r>
          </w:p>
        </w:tc>
        <w:tc>
          <w:tcPr>
            <w:tcW w:w="262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项目支出结转和结余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52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49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7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6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6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7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7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46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项目支出结转</w:t>
            </w:r>
          </w:p>
        </w:tc>
        <w:tc>
          <w:tcPr>
            <w:tcW w:w="115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项目支出结余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9" w:hRule="atLeast"/>
        </w:trPr>
        <w:tc>
          <w:tcPr>
            <w:tcW w:w="96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816"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52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378"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49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7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6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68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75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700"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73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583"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46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15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1" w:hRule="atLeast"/>
        </w:trPr>
        <w:tc>
          <w:tcPr>
            <w:tcW w:w="317"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类</w:t>
            </w:r>
          </w:p>
        </w:tc>
        <w:tc>
          <w:tcPr>
            <w:tcW w:w="316"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款</w:t>
            </w:r>
          </w:p>
        </w:tc>
        <w:tc>
          <w:tcPr>
            <w:tcW w:w="334" w:type="dxa"/>
            <w:vMerge w:val="restar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栏次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7</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8</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9</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10</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11</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12</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317" w:type="dxa"/>
            <w:vMerge w:val="continue"/>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316"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334" w:type="dxa"/>
            <w:vMerge w:val="continue"/>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合计</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0.00</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12.92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12.92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12.92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12.92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bCs/>
                <w:i w:val="0"/>
                <w:iCs w:val="0"/>
                <w:color w:val="000000" w:themeColor="text1"/>
                <w:sz w:val="20"/>
                <w:szCs w:val="20"/>
                <w:u w:val="none"/>
                <w14:textFill>
                  <w14:solidFill>
                    <w14:schemeClr w14:val="tx1"/>
                  </w14:solidFill>
                </w14:textFill>
              </w:rPr>
            </w:pPr>
            <w:r>
              <w:rPr>
                <w:rFonts w:hint="default" w:ascii="Times New Roman" w:hAnsi="Times New Roman" w:cs="Times New Roman"/>
                <w:b/>
                <w:bCs/>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229</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其他支出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12.92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12.92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12.92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12.92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22960</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b/>
                <w:color w:val="000000" w:themeColor="text1"/>
                <w:sz w:val="20"/>
                <w:szCs w:val="20"/>
                <w14:textFill>
                  <w14:solidFill>
                    <w14:schemeClr w14:val="tx1"/>
                  </w14:solidFill>
                </w14:textFill>
              </w:rPr>
              <w:t>彩票公益金安排的支出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12.92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12.92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12.92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12.92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bCs w:val="0"/>
                <w:color w:val="000000" w:themeColor="text1"/>
                <w:sz w:val="20"/>
                <w:szCs w:val="20"/>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67" w:type="dxa"/>
            <w:gridSpan w:val="3"/>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2296002</w:t>
            </w:r>
          </w:p>
        </w:tc>
        <w:tc>
          <w:tcPr>
            <w:tcW w:w="18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textAlignment w:val="cente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14:textFill>
                  <w14:solidFill>
                    <w14:schemeClr w14:val="tx1"/>
                  </w14:solidFill>
                </w14:textFill>
              </w:rPr>
              <w:t>用于社会福利的彩票公益金支出</w:t>
            </w:r>
          </w:p>
        </w:tc>
        <w:tc>
          <w:tcPr>
            <w:tcW w:w="152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78"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9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12.92 </w:t>
            </w:r>
          </w:p>
        </w:tc>
        <w:tc>
          <w:tcPr>
            <w:tcW w:w="16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68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12.92 </w:t>
            </w:r>
          </w:p>
        </w:tc>
        <w:tc>
          <w:tcPr>
            <w:tcW w:w="175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12.92 </w:t>
            </w:r>
          </w:p>
        </w:tc>
        <w:tc>
          <w:tcPr>
            <w:tcW w:w="17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73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12.92 </w:t>
            </w:r>
          </w:p>
        </w:tc>
        <w:tc>
          <w:tcPr>
            <w:tcW w:w="158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334"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46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c>
          <w:tcPr>
            <w:tcW w:w="115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240" w:lineRule="exact"/>
              <w:jc w:val="right"/>
              <w:textAlignment w:val="center"/>
              <w:rPr>
                <w:rFonts w:hint="default" w:ascii="Times New Roman" w:hAnsi="Times New Roman" w:eastAsia="宋体" w:cs="Times New Roman"/>
                <w:b w:val="0"/>
                <w:bCs w:val="0"/>
                <w:i w:val="0"/>
                <w:iCs w:val="0"/>
                <w:color w:val="000000" w:themeColor="text1"/>
                <w:sz w:val="20"/>
                <w:szCs w:val="20"/>
                <w:u w:val="none"/>
                <w14:textFill>
                  <w14:solidFill>
                    <w14:schemeClr w14:val="tx1"/>
                  </w14:solidFill>
                </w14:textFill>
              </w:rPr>
            </w:pPr>
            <w:r>
              <w:rPr>
                <w:rFonts w:hint="default" w:ascii="Times New Roman" w:hAnsi="Times New Roman" w:cs="Times New Roman"/>
                <w:b w:val="0"/>
                <w:bCs w:val="0"/>
                <w:color w:val="000000" w:themeColor="text1"/>
                <w:sz w:val="20"/>
                <w:szCs w:val="20"/>
                <w14:textFill>
                  <w14:solidFill>
                    <w14:schemeClr w14:val="tx1"/>
                  </w14:solidFill>
                </w14:textFill>
              </w:rPr>
              <w:t xml:space="preserve">0.00 </w:t>
            </w:r>
          </w:p>
        </w:tc>
      </w:tr>
    </w:tbl>
    <w:p>
      <w:pPr>
        <w:numPr>
          <w:ilvl w:val="0"/>
          <w:numId w:val="0"/>
        </w:num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br w:type="page"/>
      </w:r>
    </w:p>
    <w:tbl>
      <w:tblPr>
        <w:tblStyle w:val="6"/>
        <w:tblW w:w="221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01"/>
        <w:gridCol w:w="350"/>
        <w:gridCol w:w="350"/>
        <w:gridCol w:w="2664"/>
        <w:gridCol w:w="2437"/>
        <w:gridCol w:w="2063"/>
        <w:gridCol w:w="2186"/>
        <w:gridCol w:w="2482"/>
        <w:gridCol w:w="2400"/>
        <w:gridCol w:w="2307"/>
        <w:gridCol w:w="2287"/>
        <w:gridCol w:w="196"/>
        <w:gridCol w:w="21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22139" w:type="dxa"/>
            <w:gridSpan w:val="13"/>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sz w:val="30"/>
                <w:szCs w:val="30"/>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30"/>
                <w:szCs w:val="30"/>
                <w:u w:val="none"/>
                <w:lang w:val="en-US" w:eastAsia="zh-CN" w:bidi="ar"/>
                <w14:textFill>
                  <w14:solidFill>
                    <w14:schemeClr w14:val="tx1"/>
                  </w14:solidFill>
                </w14:textFill>
              </w:rPr>
              <w:t>国有资本经营预算财政拨款收入支出决算表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20023" w:type="dxa"/>
            <w:gridSpan w:val="12"/>
            <w:vMerge w:val="restart"/>
            <w:tcBorders>
              <w:top w:val="nil"/>
              <w:left w:val="nil"/>
              <w:right w:val="nil"/>
            </w:tcBorders>
            <w:shd w:val="clear" w:color="auto" w:fill="auto"/>
            <w:vAlign w:val="bottom"/>
          </w:tcPr>
          <w:p>
            <w:pP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lang w:eastAsia="zh-CN"/>
                <w14:textFill>
                  <w14:solidFill>
                    <w14:schemeClr w14:val="tx1"/>
                  </w14:solidFill>
                </w14:textFill>
              </w:rPr>
              <w:t>部门</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u w:color="auto"/>
                <w14:textFill>
                  <w14:solidFill>
                    <w14:schemeClr w14:val="tx1"/>
                  </w14:solidFill>
                </w14:textFill>
              </w:rPr>
              <w:t>巫溪县土城镇人民政府</w:t>
            </w:r>
          </w:p>
        </w:tc>
        <w:tc>
          <w:tcPr>
            <w:tcW w:w="211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20023" w:type="dxa"/>
            <w:gridSpan w:val="12"/>
            <w:vMerge w:val="continue"/>
            <w:tcBorders>
              <w:left w:val="nil"/>
              <w:bottom w:val="nil"/>
              <w:right w:val="nil"/>
            </w:tcBorders>
            <w:shd w:val="clear" w:color="auto" w:fill="auto"/>
            <w:vAlign w:val="bottom"/>
          </w:tcPr>
          <w:p>
            <w:pP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c>
          <w:tcPr>
            <w:tcW w:w="2116"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单位：</w:t>
            </w: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0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科目代码</w:t>
            </w:r>
          </w:p>
        </w:tc>
        <w:tc>
          <w:tcPr>
            <w:tcW w:w="2664"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科目名称</w:t>
            </w:r>
          </w:p>
        </w:tc>
        <w:tc>
          <w:tcPr>
            <w:tcW w:w="6686" w:type="dxa"/>
            <w:gridSpan w:val="3"/>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年初结转和结余</w:t>
            </w:r>
          </w:p>
        </w:tc>
        <w:tc>
          <w:tcPr>
            <w:tcW w:w="2482"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本年收入</w:t>
            </w:r>
          </w:p>
        </w:tc>
        <w:tc>
          <w:tcPr>
            <w:tcW w:w="240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本年支出</w:t>
            </w:r>
          </w:p>
        </w:tc>
        <w:tc>
          <w:tcPr>
            <w:tcW w:w="6906" w:type="dxa"/>
            <w:gridSpan w:val="4"/>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43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合计</w:t>
            </w:r>
          </w:p>
        </w:tc>
        <w:tc>
          <w:tcPr>
            <w:tcW w:w="2063"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结转</w:t>
            </w:r>
          </w:p>
        </w:tc>
        <w:tc>
          <w:tcPr>
            <w:tcW w:w="2186"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结余</w:t>
            </w: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30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合计</w:t>
            </w:r>
          </w:p>
        </w:tc>
        <w:tc>
          <w:tcPr>
            <w:tcW w:w="2287"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结转</w:t>
            </w:r>
          </w:p>
        </w:tc>
        <w:tc>
          <w:tcPr>
            <w:tcW w:w="2312" w:type="dxa"/>
            <w:gridSpan w:val="2"/>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37"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063"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18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307"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287"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312" w:type="dxa"/>
            <w:gridSpan w:val="2"/>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00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664"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37"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063"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186"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82"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307"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287"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312" w:type="dxa"/>
            <w:gridSpan w:val="2"/>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01"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类</w:t>
            </w:r>
          </w:p>
        </w:tc>
        <w:tc>
          <w:tcPr>
            <w:tcW w:w="35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款</w:t>
            </w:r>
          </w:p>
        </w:tc>
        <w:tc>
          <w:tcPr>
            <w:tcW w:w="350" w:type="dxa"/>
            <w:vMerge w:val="restar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w:t>
            </w:r>
          </w:p>
        </w:tc>
        <w:tc>
          <w:tcPr>
            <w:tcW w:w="266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栏次</w:t>
            </w:r>
          </w:p>
        </w:tc>
        <w:tc>
          <w:tcPr>
            <w:tcW w:w="24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w:t>
            </w:r>
          </w:p>
        </w:tc>
        <w:tc>
          <w:tcPr>
            <w:tcW w:w="206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w:t>
            </w:r>
          </w:p>
        </w:tc>
        <w:tc>
          <w:tcPr>
            <w:tcW w:w="218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w:t>
            </w:r>
          </w:p>
        </w:tc>
        <w:tc>
          <w:tcPr>
            <w:tcW w:w="24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w:t>
            </w:r>
          </w:p>
        </w:tc>
        <w:tc>
          <w:tcPr>
            <w:tcW w:w="24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w:t>
            </w:r>
          </w:p>
        </w:tc>
        <w:tc>
          <w:tcPr>
            <w:tcW w:w="230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w:t>
            </w:r>
          </w:p>
        </w:tc>
        <w:tc>
          <w:tcPr>
            <w:tcW w:w="228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7</w:t>
            </w:r>
          </w:p>
        </w:tc>
        <w:tc>
          <w:tcPr>
            <w:tcW w:w="231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01" w:type="dxa"/>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350"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350" w:type="dxa"/>
            <w:vMerge w:val="continue"/>
            <w:tcBorders>
              <w:top w:val="nil"/>
              <w:left w:val="nil"/>
              <w:bottom w:val="single" w:color="000000" w:sz="4" w:space="0"/>
              <w:right w:val="single" w:color="000000" w:sz="4" w:space="0"/>
            </w:tcBorders>
            <w:shd w:val="clear" w:color="auto" w:fill="auto"/>
            <w:vAlign w:val="center"/>
          </w:tcPr>
          <w:p>
            <w:pPr>
              <w:jc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p>
        </w:tc>
        <w:tc>
          <w:tcPr>
            <w:tcW w:w="2664"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合计</w:t>
            </w:r>
          </w:p>
        </w:tc>
        <w:tc>
          <w:tcPr>
            <w:tcW w:w="24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06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18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4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4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30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28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c>
          <w:tcPr>
            <w:tcW w:w="231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cs="Times New Roman"/>
                <w:b/>
                <w:bCs/>
                <w:color w:val="000000" w:themeColor="text1"/>
                <w:sz w:val="22"/>
                <w:szCs w:val="22"/>
                <w14:textFill>
                  <w14:solidFill>
                    <w14:schemeClr w14:val="tx1"/>
                  </w14:solidFill>
                </w14:textFill>
              </w:rPr>
              <w:t xml:space="preserve">0.00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001" w:type="dxa"/>
            <w:gridSpan w:val="3"/>
            <w:tcBorders>
              <w:top w:val="nil"/>
              <w:left w:val="single" w:color="000000" w:sz="4" w:space="0"/>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664" w:type="dxa"/>
            <w:tcBorders>
              <w:top w:val="nil"/>
              <w:left w:val="nil"/>
              <w:bottom w:val="single" w:color="000000" w:sz="4" w:space="0"/>
              <w:right w:val="single" w:color="000000" w:sz="4" w:space="0"/>
            </w:tcBorders>
            <w:shd w:val="clear" w:color="auto" w:fill="auto"/>
            <w:vAlign w:val="center"/>
          </w:tcPr>
          <w:p>
            <w:pP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243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063"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18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82"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400"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30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287"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c>
          <w:tcPr>
            <w:tcW w:w="2312" w:type="dxa"/>
            <w:gridSpan w:val="2"/>
            <w:tcBorders>
              <w:top w:val="nil"/>
              <w:left w:val="nil"/>
              <w:bottom w:val="single" w:color="000000" w:sz="4" w:space="0"/>
              <w:right w:val="single" w:color="000000" w:sz="4" w:space="0"/>
            </w:tcBorders>
            <w:shd w:val="clear" w:color="auto" w:fill="auto"/>
            <w:vAlign w:val="center"/>
          </w:tcPr>
          <w:p>
            <w:pPr>
              <w:keepNext w:val="0"/>
              <w:keepLines w:val="0"/>
              <w:pageBreakBefore w:val="0"/>
              <w:widowControl/>
              <w:kinsoku/>
              <w:wordWrap w:val="0"/>
              <w:overflowPunct/>
              <w:topLinePunct w:val="0"/>
              <w:autoSpaceDE/>
              <w:autoSpaceDN/>
              <w:bidi w:val="0"/>
              <w:adjustRightInd/>
              <w:snapToGrid/>
              <w:spacing w:line="400" w:lineRule="exact"/>
              <w:jc w:val="right"/>
              <w:textAlignment w:val="center"/>
              <w:rPr>
                <w:rFonts w:hint="default" w:ascii="Times New Roman" w:hAnsi="Times New Roman" w:eastAsia="宋体" w:cs="Times New Roman"/>
                <w:b w:val="0"/>
                <w:bCs w:val="0"/>
                <w:i w:val="0"/>
                <w:iCs w:val="0"/>
                <w:color w:val="000000" w:themeColor="text1"/>
                <w:sz w:val="22"/>
                <w:szCs w:val="22"/>
                <w:u w:val="none"/>
                <w14:textFill>
                  <w14:solidFill>
                    <w14:schemeClr w14:val="tx1"/>
                  </w14:solidFill>
                </w14:textFill>
              </w:rPr>
            </w:pPr>
            <w:r>
              <w:rPr>
                <w:rFonts w:hint="default" w:ascii="Times New Roman" w:hAnsi="Times New Roman" w:cs="Times New Roman"/>
                <w:b w:val="0"/>
                <w:bCs w:val="0"/>
                <w:color w:val="000000" w:themeColor="text1"/>
                <w:sz w:val="22"/>
                <w:szCs w:val="22"/>
                <w14:textFill>
                  <w14:solidFill>
                    <w14:schemeClr w14:val="tx1"/>
                  </w14:solidFill>
                </w14:textFill>
              </w:rPr>
              <w:t xml:space="preserve">0.00 </w:t>
            </w:r>
          </w:p>
        </w:tc>
      </w:tr>
    </w:tbl>
    <w:p>
      <w:pPr>
        <w:numPr>
          <w:ilvl w:val="0"/>
          <w:numId w:val="0"/>
        </w:numPr>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方正仿宋_GBK" w:hAnsi="方正仿宋_GBK" w:eastAsia="方正仿宋_GBK" w:cs="方正仿宋_GBK"/>
          <w:b w:val="0"/>
          <w:bCs w:val="0"/>
          <w:sz w:val="32"/>
          <w:szCs w:val="32"/>
        </w:rPr>
        <w:t>本年</w:t>
      </w:r>
      <w:r>
        <w:rPr>
          <w:rFonts w:hint="eastAsia" w:ascii="方正仿宋_GBK" w:hAnsi="方正仿宋_GBK" w:eastAsia="方正仿宋_GBK" w:cs="方正仿宋_GBK"/>
          <w:b w:val="0"/>
          <w:bCs w:val="0"/>
          <w:i w:val="0"/>
          <w:iCs w:val="0"/>
          <w:color w:val="000000" w:themeColor="text1"/>
          <w:kern w:val="0"/>
          <w:sz w:val="32"/>
          <w:szCs w:val="32"/>
          <w:u w:val="none"/>
          <w:lang w:val="en-US" w:eastAsia="zh-CN" w:bidi="ar"/>
          <w14:textFill>
            <w14:solidFill>
              <w14:schemeClr w14:val="tx1"/>
            </w14:solidFill>
          </w14:textFill>
        </w:rPr>
        <w:t>国有资本经营预算财政拨款</w:t>
      </w:r>
      <w:r>
        <w:rPr>
          <w:rFonts w:hint="eastAsia" w:ascii="方正仿宋_GBK" w:hAnsi="方正仿宋_GBK" w:eastAsia="方正仿宋_GBK" w:cs="方正仿宋_GBK"/>
          <w:b w:val="0"/>
          <w:bCs w:val="0"/>
          <w:sz w:val="32"/>
          <w:szCs w:val="32"/>
        </w:rPr>
        <w:t>无收支，故本表无数据</w:t>
      </w:r>
      <w:r>
        <w:rPr>
          <w:rFonts w:hint="eastAsia" w:ascii="方正仿宋_GBK" w:hAnsi="方正仿宋_GBK" w:eastAsia="方正仿宋_GBK" w:cs="方正仿宋_GBK"/>
          <w:b w:val="0"/>
          <w:bCs w:val="0"/>
          <w:sz w:val="32"/>
          <w:szCs w:val="32"/>
          <w:lang w:eastAsia="zh-CN"/>
        </w:rPr>
        <w:t>。</w:t>
      </w:r>
      <w:r>
        <w:rPr>
          <w:rFonts w:hint="default" w:ascii="Times New Roman" w:hAnsi="Times New Roman" w:eastAsia="宋体" w:cs="Times New Roman"/>
          <w:color w:val="000000" w:themeColor="text1"/>
          <w:sz w:val="21"/>
          <w:szCs w:val="21"/>
          <w14:textFill>
            <w14:solidFill>
              <w14:schemeClr w14:val="tx1"/>
            </w14:solidFill>
          </w14:textFill>
        </w:rPr>
        <w:br w:type="page"/>
      </w:r>
    </w:p>
    <w:tbl>
      <w:tblPr>
        <w:tblStyle w:val="6"/>
        <w:tblW w:w="2005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17"/>
        <w:gridCol w:w="1017"/>
        <w:gridCol w:w="4017"/>
        <w:gridCol w:w="5416"/>
        <w:gridCol w:w="1050"/>
        <w:gridCol w:w="4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0051" w:type="dxa"/>
            <w:gridSpan w:val="6"/>
            <w:tcBorders>
              <w:top w:val="nil"/>
              <w:left w:val="nil"/>
              <w:bottom w:val="nil"/>
              <w:right w:val="nil"/>
            </w:tcBorders>
            <w:shd w:val="clear" w:color="auto" w:fill="auto"/>
            <w:vAlign w:val="bottom"/>
          </w:tcPr>
          <w:p>
            <w:pPr>
              <w:keepNext w:val="0"/>
              <w:keepLines w:val="0"/>
              <w:widowControl/>
              <w:suppressLineNumbers w:val="0"/>
              <w:jc w:val="center"/>
              <w:textAlignment w:val="bottom"/>
              <w:rPr>
                <w:rFonts w:hint="default" w:ascii="Times New Roman" w:hAnsi="Times New Roman" w:eastAsia="宋体" w:cs="Times New Roman"/>
                <w:i w:val="0"/>
                <w:iCs w:val="0"/>
                <w:color w:val="000000" w:themeColor="text1"/>
                <w:sz w:val="44"/>
                <w:szCs w:val="44"/>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30"/>
                <w:szCs w:val="30"/>
                <w:u w:val="none"/>
                <w:lang w:val="en-US" w:eastAsia="zh-CN" w:bidi="ar"/>
                <w14:textFill>
                  <w14:solidFill>
                    <w14:schemeClr w14:val="tx1"/>
                  </w14:solidFill>
                </w14:textFill>
              </w:rPr>
              <w:t>机构运行信息决算表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5917" w:type="dxa"/>
            <w:gridSpan w:val="5"/>
            <w:vMerge w:val="restart"/>
            <w:tcBorders>
              <w:top w:val="nil"/>
              <w:left w:val="nil"/>
              <w:right w:val="nil"/>
            </w:tcBorders>
            <w:shd w:val="clear" w:color="auto" w:fill="auto"/>
            <w:vAlign w:val="bottom"/>
          </w:tcPr>
          <w:p>
            <w:pP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cs="Times New Roman"/>
                <w:color w:val="000000" w:themeColor="text1"/>
                <w:sz w:val="20"/>
                <w:szCs w:val="20"/>
                <w:lang w:eastAsia="zh-CN"/>
                <w14:textFill>
                  <w14:solidFill>
                    <w14:schemeClr w14:val="tx1"/>
                  </w14:solidFill>
                </w14:textFill>
              </w:rPr>
              <w:t>部门</w:t>
            </w:r>
            <w:r>
              <w:rPr>
                <w:rFonts w:hint="default" w:ascii="Times New Roman" w:hAnsi="Times New Roman" w:cs="Times New Roman"/>
                <w:color w:val="000000" w:themeColor="text1"/>
                <w:sz w:val="20"/>
                <w:szCs w:val="20"/>
                <w14:textFill>
                  <w14:solidFill>
                    <w14:schemeClr w14:val="tx1"/>
                  </w14:solidFill>
                </w14:textFill>
              </w:rPr>
              <w:t>：</w:t>
            </w:r>
            <w:r>
              <w:rPr>
                <w:rFonts w:hint="default" w:ascii="Times New Roman" w:hAnsi="Times New Roman" w:cs="Times New Roman"/>
                <w:color w:val="000000" w:themeColor="text1"/>
                <w:sz w:val="20"/>
                <w:u w:color="auto"/>
                <w14:textFill>
                  <w14:solidFill>
                    <w14:schemeClr w14:val="tx1"/>
                  </w14:solidFill>
                </w14:textFill>
              </w:rPr>
              <w:t>巫溪县土城镇人民政府</w:t>
            </w:r>
          </w:p>
        </w:tc>
        <w:tc>
          <w:tcPr>
            <w:tcW w:w="4134"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15917" w:type="dxa"/>
            <w:gridSpan w:val="5"/>
            <w:vMerge w:val="continue"/>
            <w:tcBorders>
              <w:left w:val="nil"/>
              <w:bottom w:val="nil"/>
              <w:right w:val="nil"/>
            </w:tcBorders>
            <w:shd w:val="clear" w:color="auto" w:fill="auto"/>
            <w:vAlign w:val="bottom"/>
          </w:tcPr>
          <w:p>
            <w:pPr>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c>
          <w:tcPr>
            <w:tcW w:w="4134" w:type="dxa"/>
            <w:tcBorders>
              <w:top w:val="nil"/>
              <w:left w:val="nil"/>
              <w:bottom w:val="nil"/>
              <w:right w:val="nil"/>
            </w:tcBorders>
            <w:shd w:val="clear" w:color="auto" w:fill="auto"/>
            <w:vAlign w:val="bottom"/>
          </w:tcPr>
          <w:p>
            <w:pPr>
              <w:keepNext w:val="0"/>
              <w:keepLines w:val="0"/>
              <w:widowControl/>
              <w:suppressLineNumbers w:val="0"/>
              <w:jc w:val="right"/>
              <w:textAlignment w:val="bottom"/>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0"/>
                <w:szCs w:val="20"/>
                <w:u w:val="none"/>
                <w:lang w:val="en-US" w:eastAsia="zh-CN" w:bidi="ar"/>
                <w14:textFill>
                  <w14:solidFill>
                    <w14:schemeClr w14:val="tx1"/>
                  </w14:solidFill>
                </w14:textFill>
              </w:rPr>
              <w:t>单位：</w:t>
            </w:r>
            <w:r>
              <w:rPr>
                <w:rFonts w:hint="default" w:ascii="Times New Roman" w:hAnsi="Times New Roman" w:cs="Times New Roman"/>
                <w:i w:val="0"/>
                <w:iCs w:val="0"/>
                <w:color w:val="000000" w:themeColor="text1"/>
                <w:kern w:val="0"/>
                <w:sz w:val="20"/>
                <w:szCs w:val="20"/>
                <w:u w:val="none"/>
                <w:lang w:val="en-US" w:eastAsia="zh-CN" w:bidi="ar"/>
                <w14:textFill>
                  <w14:solidFill>
                    <w14:schemeClr w14:val="tx1"/>
                  </w14:solidFill>
                </w14:textFill>
              </w:rPr>
              <w:t>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4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  目</w:t>
            </w:r>
          </w:p>
        </w:tc>
        <w:tc>
          <w:tcPr>
            <w:tcW w:w="101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行次</w:t>
            </w:r>
          </w:p>
        </w:tc>
        <w:tc>
          <w:tcPr>
            <w:tcW w:w="4017" w:type="dxa"/>
            <w:tcBorders>
              <w:top w:val="single" w:color="000000" w:sz="4" w:space="0"/>
              <w:left w:val="nil"/>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决算数</w:t>
            </w:r>
          </w:p>
        </w:tc>
        <w:tc>
          <w:tcPr>
            <w:tcW w:w="5416"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项  目</w:t>
            </w:r>
          </w:p>
        </w:tc>
        <w:tc>
          <w:tcPr>
            <w:tcW w:w="1050"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行次</w:t>
            </w:r>
          </w:p>
        </w:tc>
        <w:tc>
          <w:tcPr>
            <w:tcW w:w="4134" w:type="dxa"/>
            <w:tcBorders>
              <w:top w:val="single" w:color="000000" w:sz="4" w:space="0"/>
              <w:left w:val="nil"/>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一、“三公”经费支出</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五、机关运行经费</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25</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96.09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（一）支出合计</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8.30 </w:t>
            </w: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（一）行政单位</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26</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96.09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1．因公出国（境）费</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（二）参照公务员法管理事业单位</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27</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2．公务用车购置及运行维护费</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5.30 </w:t>
            </w: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六、资产信息</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28</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（1）公务用车购置费</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5</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（一）车辆数合计（辆）</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29</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（2）公务用车运行维护费</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6</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5.30 </w:t>
            </w: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1．副部（省）级及以上领导用车</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30</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3．公务接待费</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7</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3.00 </w:t>
            </w: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2．主要领导干部用车</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31</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（1）国内接待费</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8</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3.00 </w:t>
            </w: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3．机要通信用车</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32</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其中：外事接待费</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9</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4．应急保障用车</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33</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（2）国（境）外接待费</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10</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5．执法执勤用车</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34</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（二）相关统计数</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11</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t>—</w:t>
            </w: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6．特种专业技术用车</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35</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1．因公出国（境）团组数（个）</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12</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7．离退休干部用车</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36</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2．因公出国（境）人次数（人）</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13</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8．其他用车</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37</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3．公务用车购置数（辆）</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14</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（二）单价100万元（含）以上设备（不含车辆）</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38</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4．公务用车保有量（辆）</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15</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2</w:t>
            </w: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七、政府采购支出信息</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39</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5．国内公务接待批次（个）</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16</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15</w:t>
            </w: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（一）政府采购支出合计</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40</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951.97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其中：外事接待批次（个）</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17</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1．政府采购货物支出</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41</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6．国内公务接待人次（人）</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18</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160</w:t>
            </w: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2．政府采购工程支出</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42</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951.97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其中：外事接待人次（人）</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19</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3．政府采购服务支出</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43</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7．国（境）外公务接待批次（个）</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20</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（二）政府采购授予中小企业合同金额</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44</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951.97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8．国（境）外公务接待人次（人）</w:t>
            </w:r>
          </w:p>
        </w:tc>
        <w:tc>
          <w:tcPr>
            <w:tcW w:w="1017"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21</w:t>
            </w:r>
          </w:p>
        </w:tc>
        <w:tc>
          <w:tcPr>
            <w:tcW w:w="4017"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5416" w:type="dxa"/>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 xml:space="preserve">        其中：授予小微企业合同金额</w:t>
            </w:r>
          </w:p>
        </w:tc>
        <w:tc>
          <w:tcPr>
            <w:tcW w:w="1050" w:type="dxa"/>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45</w:t>
            </w: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nil"/>
              <w:left w:val="single" w:color="000000" w:sz="4" w:space="0"/>
              <w:bottom w:val="single" w:color="auto"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二、会议费</w:t>
            </w:r>
          </w:p>
        </w:tc>
        <w:tc>
          <w:tcPr>
            <w:tcW w:w="1017" w:type="dxa"/>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22</w:t>
            </w:r>
          </w:p>
        </w:tc>
        <w:tc>
          <w:tcPr>
            <w:tcW w:w="4017" w:type="dxa"/>
            <w:tcBorders>
              <w:top w:val="single" w:color="000000" w:sz="4" w:space="0"/>
              <w:left w:val="single" w:color="000000" w:sz="4" w:space="0"/>
              <w:bottom w:val="single" w:color="auto" w:sz="4" w:space="0"/>
              <w:right w:val="single" w:color="000000"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7.29</w:t>
            </w:r>
          </w:p>
        </w:tc>
        <w:tc>
          <w:tcPr>
            <w:tcW w:w="5416" w:type="dxa"/>
            <w:tcBorders>
              <w:top w:val="nil"/>
              <w:left w:val="nil"/>
              <w:bottom w:val="single" w:color="auto"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050" w:type="dxa"/>
            <w:tcBorders>
              <w:top w:val="nil"/>
              <w:left w:val="nil"/>
              <w:bottom w:val="single" w:color="auto"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413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三、培训费</w:t>
            </w:r>
          </w:p>
        </w:tc>
        <w:tc>
          <w:tcPr>
            <w:tcW w:w="10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iCs w:val="0"/>
                <w:color w:val="000000" w:themeColor="text1"/>
                <w:sz w:val="22"/>
                <w:szCs w:val="22"/>
                <w:u w:val="none"/>
                <w14:textFill>
                  <w14:solidFill>
                    <w14:schemeClr w14:val="tx1"/>
                  </w14:solidFill>
                </w14:textFill>
              </w:rPr>
            </w:pPr>
            <w:r>
              <w:rPr>
                <w:rFonts w:hint="default" w:ascii="Times New Roman" w:hAnsi="Times New Roman" w:eastAsia="宋体" w:cs="Times New Roman"/>
                <w:b/>
                <w:bCs/>
                <w:i w:val="0"/>
                <w:iCs w:val="0"/>
                <w:color w:val="000000" w:themeColor="text1"/>
                <w:kern w:val="0"/>
                <w:sz w:val="22"/>
                <w:szCs w:val="22"/>
                <w:u w:val="none"/>
                <w:lang w:val="en-US" w:eastAsia="zh-CN" w:bidi="ar"/>
                <w14:textFill>
                  <w14:solidFill>
                    <w14:schemeClr w14:val="tx1"/>
                  </w14:solidFill>
                </w14:textFill>
              </w:rPr>
              <w:t>23</w:t>
            </w:r>
          </w:p>
        </w:tc>
        <w:tc>
          <w:tcPr>
            <w:tcW w:w="4017" w:type="dxa"/>
            <w:tcBorders>
              <w:top w:val="single" w:color="auto" w:sz="4" w:space="0"/>
              <w:left w:val="single" w:color="auto" w:sz="4" w:space="0"/>
              <w:bottom w:val="single" w:color="000000" w:sz="4" w:space="0"/>
              <w:right w:val="single" w:color="auto"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54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4134" w:type="dxa"/>
            <w:tcBorders>
              <w:top w:val="single" w:color="000000" w:sz="4" w:space="0"/>
              <w:left w:val="single" w:color="auto"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4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default" w:ascii="Times New Roman" w:hAnsi="Times New Roman" w:eastAsia="宋体" w:cs="Times New Roman"/>
                <w:b/>
                <w:i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b/>
                <w:i w:val="0"/>
                <w:color w:val="000000" w:themeColor="text1"/>
                <w:kern w:val="0"/>
                <w:sz w:val="22"/>
                <w:szCs w:val="22"/>
                <w:u w:val="none"/>
                <w:lang w:val="en-US" w:eastAsia="zh-CN" w:bidi="ar"/>
                <w14:textFill>
                  <w14:solidFill>
                    <w14:schemeClr w14:val="tx1"/>
                  </w14:solidFill>
                </w14:textFill>
              </w:rPr>
              <w:t>四、差旅费</w:t>
            </w:r>
          </w:p>
        </w:tc>
        <w:tc>
          <w:tcPr>
            <w:tcW w:w="101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b/>
                <w:bCs/>
                <w:i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eastAsia="宋体" w:cs="Times New Roman"/>
                <w:b/>
                <w:bCs/>
                <w:i w:val="0"/>
                <w:color w:val="000000" w:themeColor="text1"/>
                <w:kern w:val="0"/>
                <w:sz w:val="22"/>
                <w:szCs w:val="22"/>
                <w:u w:val="none"/>
                <w:lang w:val="en-US" w:eastAsia="zh-CN" w:bidi="ar"/>
                <w14:textFill>
                  <w14:solidFill>
                    <w14:schemeClr w14:val="tx1"/>
                  </w14:solidFill>
                </w14:textFill>
              </w:rPr>
              <w:t>24</w:t>
            </w:r>
          </w:p>
        </w:tc>
        <w:tc>
          <w:tcPr>
            <w:tcW w:w="4017" w:type="dxa"/>
            <w:tcBorders>
              <w:top w:val="single" w:color="000000" w:sz="4" w:space="0"/>
              <w:left w:val="single" w:color="auto" w:sz="4" w:space="0"/>
              <w:bottom w:val="single" w:color="auto" w:sz="4" w:space="0"/>
              <w:right w:val="single" w:color="auto" w:sz="4" w:space="0"/>
            </w:tcBorders>
            <w:shd w:val="clear" w:color="auto" w:fill="auto"/>
            <w:vAlign w:val="bottom"/>
          </w:tcPr>
          <w:p>
            <w:pPr>
              <w:keepNext w:val="0"/>
              <w:keepLines w:val="0"/>
              <w:pageBreakBefore w:val="0"/>
              <w:widowControl/>
              <w:suppressLineNumbers w:val="0"/>
              <w:kinsoku/>
              <w:wordWrap/>
              <w:overflowPunct/>
              <w:topLinePunct w:val="0"/>
              <w:autoSpaceDE/>
              <w:autoSpaceDN/>
              <w:bidi w:val="0"/>
              <w:adjustRightInd/>
              <w:snapToGrid/>
              <w:spacing w:line="400" w:lineRule="exact"/>
              <w:jc w:val="right"/>
              <w:textAlignment w:val="bottom"/>
              <w:rPr>
                <w:rFonts w:hint="default" w:ascii="Times New Roman" w:hAnsi="Times New Roman" w:eastAsia="宋体" w:cs="Times New Roman"/>
                <w:i w:val="0"/>
                <w:color w:val="000000" w:themeColor="text1"/>
                <w:kern w:val="2"/>
                <w:sz w:val="22"/>
                <w:szCs w:val="22"/>
                <w:u w:val="none"/>
                <w:lang w:val="en-US" w:eastAsia="zh-CN" w:bidi="ar-SA"/>
                <w14:textFill>
                  <w14:solidFill>
                    <w14:schemeClr w14:val="tx1"/>
                  </w14:solidFill>
                </w14:textFill>
              </w:rPr>
            </w:pPr>
            <w:r>
              <w:rPr>
                <w:rFonts w:hint="default" w:ascii="Times New Roman" w:hAnsi="Times New Roman" w:cs="Times New Roman"/>
                <w:color w:val="000000" w:themeColor="text1"/>
                <w:sz w:val="22"/>
                <w:szCs w:val="22"/>
                <w14:textFill>
                  <w14:solidFill>
                    <w14:schemeClr w14:val="tx1"/>
                  </w14:solidFill>
                </w14:textFill>
              </w:rPr>
              <w:t>12.97</w:t>
            </w:r>
          </w:p>
        </w:tc>
        <w:tc>
          <w:tcPr>
            <w:tcW w:w="541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400" w:lineRule="exact"/>
              <w:jc w:val="left"/>
              <w:rPr>
                <w:rFonts w:hint="default" w:ascii="Times New Roman" w:hAnsi="Times New Roman" w:eastAsia="宋体" w:cs="Times New Roman"/>
                <w:i w:val="0"/>
                <w:iCs w:val="0"/>
                <w:color w:val="000000" w:themeColor="text1"/>
                <w:sz w:val="22"/>
                <w:szCs w:val="22"/>
                <w:u w:val="none"/>
                <w14:textFill>
                  <w14:solidFill>
                    <w14:schemeClr w14:val="tx1"/>
                  </w14:solidFill>
                </w14:textFill>
              </w:rP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宋体" w:cs="Times New Roman"/>
                <w:i w:val="0"/>
                <w:iCs w:val="0"/>
                <w:color w:val="000000" w:themeColor="text1"/>
                <w:kern w:val="0"/>
                <w:sz w:val="22"/>
                <w:szCs w:val="22"/>
                <w:u w:val="none"/>
                <w:lang w:val="en-US" w:eastAsia="zh-CN" w:bidi="ar"/>
                <w14:textFill>
                  <w14:solidFill>
                    <w14:schemeClr w14:val="tx1"/>
                  </w14:solidFill>
                </w14:textFill>
              </w:rPr>
            </w:pPr>
          </w:p>
        </w:tc>
        <w:tc>
          <w:tcPr>
            <w:tcW w:w="4134" w:type="dxa"/>
            <w:tcBorders>
              <w:top w:val="single" w:color="000000" w:sz="4" w:space="0"/>
              <w:left w:val="single" w:color="auto" w:sz="4" w:space="0"/>
              <w:bottom w:val="single" w:color="000000" w:sz="4" w:space="0"/>
              <w:right w:val="single" w:color="000000" w:sz="4" w:space="0"/>
            </w:tcBorders>
            <w:shd w:val="clear" w:color="auto" w:fill="auto"/>
            <w:vAlign w:val="bottom"/>
          </w:tcPr>
          <w:p>
            <w:pPr>
              <w:keepNext w:val="0"/>
              <w:keepLines w:val="0"/>
              <w:pageBreakBefore w:val="0"/>
              <w:widowControl/>
              <w:kinsoku/>
              <w:wordWrap/>
              <w:overflowPunct/>
              <w:topLinePunct w:val="0"/>
              <w:autoSpaceDE/>
              <w:autoSpaceDN/>
              <w:bidi w:val="0"/>
              <w:adjustRightInd/>
              <w:snapToGrid/>
              <w:spacing w:line="400" w:lineRule="exact"/>
              <w:rPr>
                <w:rFonts w:hint="default" w:ascii="Times New Roman" w:hAnsi="Times New Roman" w:eastAsia="宋体" w:cs="Times New Roman"/>
                <w:i w:val="0"/>
                <w:iCs w:val="0"/>
                <w:color w:val="000000" w:themeColor="text1"/>
                <w:sz w:val="20"/>
                <w:szCs w:val="20"/>
                <w:u w:val="none"/>
                <w14:textFill>
                  <w14:solidFill>
                    <w14:schemeClr w14:val="tx1"/>
                  </w14:solidFill>
                </w14:textFill>
              </w:rPr>
            </w:pPr>
          </w:p>
        </w:tc>
      </w:tr>
    </w:tbl>
    <w:p>
      <w:pPr>
        <w:rPr>
          <w:rFonts w:hint="default" w:ascii="Times New Roman" w:hAnsi="Times New Roman" w:eastAsia="宋体" w:cs="Times New Roman"/>
          <w:color w:val="000000" w:themeColor="text1"/>
          <w:sz w:val="21"/>
          <w:szCs w:val="21"/>
          <w:lang w:bidi="ar"/>
          <w14:textFill>
            <w14:solidFill>
              <w14:schemeClr w14:val="tx1"/>
            </w14:solidFill>
          </w14:textFill>
        </w:rPr>
      </w:pPr>
    </w:p>
    <w:p>
      <w:pPr>
        <w:rPr>
          <w:rFonts w:hint="default" w:ascii="Times New Roman" w:hAnsi="Times New Roman" w:eastAsia="宋体" w:cs="Times New Roman"/>
          <w:color w:val="000000" w:themeColor="text1"/>
          <w:sz w:val="21"/>
          <w:szCs w:val="21"/>
          <w:lang w:bidi="ar"/>
          <w14:textFill>
            <w14:solidFill>
              <w14:schemeClr w14:val="tx1"/>
            </w14:solidFill>
          </w14:textFill>
        </w:rPr>
      </w:pPr>
    </w:p>
    <w:p>
      <w:pPr>
        <w:rPr>
          <w:rFonts w:hint="default" w:ascii="Times New Roman" w:hAnsi="Times New Roman" w:eastAsia="宋体" w:cs="Times New Roman"/>
          <w:color w:val="000000" w:themeColor="text1"/>
          <w:sz w:val="21"/>
          <w:szCs w:val="21"/>
          <w:lang w:bidi="ar"/>
          <w14:textFill>
            <w14:solidFill>
              <w14:schemeClr w14:val="tx1"/>
            </w14:solidFill>
          </w14:textFill>
        </w:rPr>
      </w:pPr>
    </w:p>
    <w:p>
      <w:pPr>
        <w:rPr>
          <w:rFonts w:hint="default" w:ascii="Times New Roman" w:hAnsi="Times New Roman" w:eastAsia="宋体" w:cs="Times New Roman"/>
          <w:color w:val="000000" w:themeColor="text1"/>
          <w:sz w:val="21"/>
          <w:szCs w:val="21"/>
          <w:lang w:bidi="ar"/>
          <w14:textFill>
            <w14:solidFill>
              <w14:schemeClr w14:val="tx1"/>
            </w14:solidFill>
          </w14:textFill>
        </w:rPr>
      </w:pPr>
    </w:p>
    <w:p>
      <w:pPr>
        <w:rPr>
          <w:rFonts w:hint="default" w:ascii="Times New Roman" w:hAnsi="Times New Roman" w:eastAsia="宋体" w:cs="Times New Roman"/>
          <w:color w:val="000000" w:themeColor="text1"/>
          <w:sz w:val="21"/>
          <w:szCs w:val="21"/>
          <w:lang w:bidi="ar"/>
          <w14:textFill>
            <w14:solidFill>
              <w14:schemeClr w14:val="tx1"/>
            </w14:solidFill>
          </w14:textFill>
        </w:rPr>
      </w:pPr>
    </w:p>
    <w:p>
      <w:pPr>
        <w:rPr>
          <w:rFonts w:hint="default" w:ascii="Times New Roman" w:hAnsi="Times New Roman" w:eastAsia="宋体" w:cs="Times New Roman"/>
          <w:color w:val="000000" w:themeColor="text1"/>
          <w:sz w:val="21"/>
          <w:szCs w:val="21"/>
          <w:lang w:bidi="ar"/>
          <w14:textFill>
            <w14:solidFill>
              <w14:schemeClr w14:val="tx1"/>
            </w14:solidFill>
          </w14:textFill>
        </w:rPr>
      </w:pPr>
    </w:p>
    <w:p>
      <w:pPr>
        <w:rPr>
          <w:rFonts w:hint="default" w:ascii="Times New Roman" w:hAnsi="Times New Roman" w:eastAsia="宋体" w:cs="Times New Roman"/>
          <w:color w:val="000000" w:themeColor="text1"/>
          <w:sz w:val="21"/>
          <w:szCs w:val="21"/>
          <w:lang w:bidi="ar"/>
          <w14:textFill>
            <w14:solidFill>
              <w14:schemeClr w14:val="tx1"/>
            </w14:solidFill>
          </w14:textFill>
        </w:rPr>
      </w:pPr>
    </w:p>
    <w:p>
      <w:pPr>
        <w:rPr>
          <w:rFonts w:hint="default" w:ascii="Times New Roman" w:hAnsi="Times New Roman" w:eastAsia="宋体" w:cs="Times New Roman"/>
          <w:color w:val="000000" w:themeColor="text1"/>
          <w:sz w:val="21"/>
          <w:szCs w:val="21"/>
          <w:lang w:bidi="ar"/>
          <w14:textFill>
            <w14:solidFill>
              <w14:schemeClr w14:val="tx1"/>
            </w14:solidFill>
          </w14:textFill>
        </w:rPr>
      </w:pPr>
    </w:p>
    <w:p>
      <w:pPr>
        <w:rPr>
          <w:rFonts w:hint="default" w:ascii="Times New Roman" w:hAnsi="Times New Roman" w:eastAsia="宋体" w:cs="Times New Roman"/>
          <w:color w:val="000000" w:themeColor="text1"/>
          <w:sz w:val="21"/>
          <w:szCs w:val="21"/>
          <w:lang w:bidi="ar"/>
          <w14:textFill>
            <w14:solidFill>
              <w14:schemeClr w14:val="tx1"/>
            </w14:solidFill>
          </w14:textFill>
        </w:rPr>
      </w:pPr>
    </w:p>
    <w:p>
      <w:pPr>
        <w:pStyle w:val="9"/>
        <w:autoSpaceDE w:val="0"/>
        <w:ind w:firstLine="0" w:firstLineChars="0"/>
        <w:rPr>
          <w:rFonts w:hint="default" w:ascii="Times New Roman" w:hAnsi="Times New Roman" w:eastAsia="宋体" w:cs="Times New Roman"/>
          <w:color w:val="000000" w:themeColor="text1"/>
          <w:sz w:val="21"/>
          <w:szCs w:val="21"/>
          <w14:textFill>
            <w14:solidFill>
              <w14:schemeClr w14:val="tx1"/>
            </w14:solidFill>
          </w14:textFill>
        </w:rPr>
      </w:pPr>
    </w:p>
    <w:sectPr>
      <w:pgSz w:w="23811" w:h="16838" w:orient="landscape"/>
      <w:pgMar w:top="567" w:right="454" w:bottom="567" w:left="1037" w:header="0" w:footer="283"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仿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rPr>
    </w:pPr>
    <w:r>
      <w:rPr>
        <w:rFonts w:hint="default"/>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
                            <w:rPr>
                              <w:rFonts w:hint="default"/>
                            </w:rPr>
                          </w:pPr>
                          <w:r>
                            <w:fldChar w:fldCharType="begin"/>
                          </w:r>
                          <w:r>
                            <w:instrText xml:space="preserve"> PAGE  \* MERGEFORMAT </w:instrText>
                          </w:r>
                          <w:r>
                            <w:fldChar w:fldCharType="separate"/>
                          </w:r>
                          <w:r>
                            <w:rPr>
                              <w:rFonts w:hint="default"/>
                            </w:rPr>
                            <w:t>- 21 -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u9gqJIgIAADc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7vYKiSICAAA3BAAADgAAAAAAAAABACAAAAA1AQAAZHJzL2Uyb0RvYy54&#10;bWxQSwUGAAAAAAYABgBZAQAAyQUAAAAA&#10;">
              <v:fill on="f" focussize="0,0"/>
              <v:stroke on="f" weight="0.5pt"/>
              <v:imagedata o:title=""/>
              <o:lock v:ext="edit" aspectratio="f"/>
              <v:textbox inset="0mm,0mm,0mm,0mm" style="mso-fit-shape-to-text:t;">
                <w:txbxContent>
                  <w:p>
                    <w:pPr>
                      <w:pStyle w:val="2"/>
                      <w:rPr>
                        <w:rFonts w:hint="default"/>
                      </w:rPr>
                    </w:pPr>
                    <w:r>
                      <w:fldChar w:fldCharType="begin"/>
                    </w:r>
                    <w:r>
                      <w:instrText xml:space="preserve"> PAGE  \* MERGEFORMAT </w:instrText>
                    </w:r>
                    <w:r>
                      <w:fldChar w:fldCharType="separate"/>
                    </w:r>
                    <w:r>
                      <w:rPr>
                        <w:rFonts w:hint="default"/>
                      </w:rPr>
                      <w:t>- 21 -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both"/>
      <w:rPr>
        <w:rFonts w:hint="default"/>
      </w:rPr>
    </w:pPr>
    <w: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8Y1JphwCAAArBAAADgAAAAAAAAABACAAAAA1AQAAZHJzL2Uyb0RvYy54bWxQSwUG&#10;AAAAAAYABgBZAQAAwwUAAAAA&#10;">
              <v:fill on="f" focussize="0,0"/>
              <v:stroke on="f" weight="0.5pt"/>
              <v:imagedata o:title=""/>
              <o:lock v:ext="edit" aspectratio="f"/>
              <v:textbox inset="0mm,0mm,0mm,0mm" style="mso-fit-shape-to-text:t;">
                <w:txbxContent>
                  <w:p>
                    <w:pPr>
                      <w:pStyle w:val="2"/>
                      <w:rPr>
                        <w:rFonts w:hint="default"/>
                      </w:rPr>
                    </w:pPr>
                    <w:r>
                      <w:t xml:space="preserve"> </w:t>
                    </w:r>
                    <w:r>
                      <w:fldChar w:fldCharType="begin"/>
                    </w:r>
                    <w:r>
                      <w:instrText xml:space="preserve">PAGE   \* MERGEFORMAT</w:instrText>
                    </w:r>
                    <w:r>
                      <w:fldChar w:fldCharType="separate"/>
                    </w:r>
                    <w:r>
                      <w:rPr>
                        <w:rFonts w:hint="default"/>
                        <w:lang w:val="zh-CN"/>
                      </w:rPr>
                      <w:t>28</w:t>
                    </w:r>
                    <w:r>
                      <w:fldChar w:fldCharType="end"/>
                    </w:r>
                    <w:r>
                      <w:t xml:space="preserve"> </w:t>
                    </w:r>
                  </w:p>
                </w:txbxContent>
              </v:textbox>
            </v:shape>
          </w:pict>
        </mc:Fallback>
      </mc:AlternateContent>
    </w:r>
    <w: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true"/>
                    <wps:spPr>
                      <a:xfrm>
                        <a:off x="0" y="0"/>
                        <a:ext cx="1828800" cy="220980"/>
                      </a:xfrm>
                      <a:prstGeom prst="rect">
                        <a:avLst/>
                      </a:prstGeom>
                      <a:noFill/>
                      <a:ln w="6350">
                        <a:noFill/>
                      </a:ln>
                      <a:effectLst/>
                    </wps:spPr>
                    <wps:txbx>
                      <w:txbxContent>
                        <w:p>
                          <w:pPr>
                            <w:pStyle w:val="2"/>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A1UVNgAAAAKAQAADwAAAAAAAAABACAAAAA4AAAAZHJzL2Rvd25y&#10;ZXYueG1sUEsBAhQAFAAAAAgAh07iQJMZTUchAgAAKgQAAA4AAAAAAAAAAQAgAAAAPQEAAGRycy9l&#10;Mm9Eb2MueG1sUEsFBgAAAAAGAAYAWQEAANAFAAAAAA==&#10;">
              <v:fill on="f" focussize="0,0"/>
              <v:stroke on="f" weight="0.5pt"/>
              <v:imagedata o:title=""/>
              <o:lock v:ext="edit" aspectratio="f"/>
              <v:textbox inset="0mm,0mm,0mm,0mm">
                <w:txbxContent>
                  <w:p>
                    <w:pPr>
                      <w:pStyle w:val="2"/>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BDBF88"/>
    <w:multiLevelType w:val="singleLevel"/>
    <w:tmpl w:val="B4BDBF8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iYmFkZjU3ZWZjZDY5NmU5MDlkMGRjZTY2MTQ4NTgifQ=="/>
  </w:docVars>
  <w:rsids>
    <w:rsidRoot w:val="00B03CCD"/>
    <w:rsid w:val="000D7BCC"/>
    <w:rsid w:val="00550ABE"/>
    <w:rsid w:val="007B419D"/>
    <w:rsid w:val="009B67B8"/>
    <w:rsid w:val="00B03CCD"/>
    <w:rsid w:val="01474EBF"/>
    <w:rsid w:val="01F3521E"/>
    <w:rsid w:val="03E3214F"/>
    <w:rsid w:val="04446191"/>
    <w:rsid w:val="044C50BA"/>
    <w:rsid w:val="0536621F"/>
    <w:rsid w:val="05E71467"/>
    <w:rsid w:val="06247E33"/>
    <w:rsid w:val="06A2550B"/>
    <w:rsid w:val="06E96291"/>
    <w:rsid w:val="06F80EE2"/>
    <w:rsid w:val="07001CCA"/>
    <w:rsid w:val="075321D2"/>
    <w:rsid w:val="075678DB"/>
    <w:rsid w:val="07932335"/>
    <w:rsid w:val="08051BCA"/>
    <w:rsid w:val="080A21BB"/>
    <w:rsid w:val="08BA052C"/>
    <w:rsid w:val="08DB07BA"/>
    <w:rsid w:val="098305D0"/>
    <w:rsid w:val="09B72B6E"/>
    <w:rsid w:val="0A0C7F04"/>
    <w:rsid w:val="0A227275"/>
    <w:rsid w:val="0A5C4B69"/>
    <w:rsid w:val="0B9335CE"/>
    <w:rsid w:val="0BA10C97"/>
    <w:rsid w:val="0C554661"/>
    <w:rsid w:val="0C7927C4"/>
    <w:rsid w:val="0C9B098C"/>
    <w:rsid w:val="0CE80A8F"/>
    <w:rsid w:val="0D472B48"/>
    <w:rsid w:val="0D673E11"/>
    <w:rsid w:val="0DB50EFE"/>
    <w:rsid w:val="0DDA54E4"/>
    <w:rsid w:val="0E3A5F83"/>
    <w:rsid w:val="0E9478E1"/>
    <w:rsid w:val="0E991CF1"/>
    <w:rsid w:val="0F836721"/>
    <w:rsid w:val="103645A3"/>
    <w:rsid w:val="107B59E5"/>
    <w:rsid w:val="10AA219D"/>
    <w:rsid w:val="11003CB0"/>
    <w:rsid w:val="11124E18"/>
    <w:rsid w:val="111445C7"/>
    <w:rsid w:val="1158083A"/>
    <w:rsid w:val="11F03528"/>
    <w:rsid w:val="12C921C4"/>
    <w:rsid w:val="12DA353E"/>
    <w:rsid w:val="13850DCB"/>
    <w:rsid w:val="13871C70"/>
    <w:rsid w:val="13A71CB4"/>
    <w:rsid w:val="13AF1D43"/>
    <w:rsid w:val="13CE1647"/>
    <w:rsid w:val="14200702"/>
    <w:rsid w:val="144F3F11"/>
    <w:rsid w:val="1580711B"/>
    <w:rsid w:val="16D80EBF"/>
    <w:rsid w:val="189B0D0B"/>
    <w:rsid w:val="18E03A42"/>
    <w:rsid w:val="19313430"/>
    <w:rsid w:val="194A1770"/>
    <w:rsid w:val="19B906A4"/>
    <w:rsid w:val="19BC4734"/>
    <w:rsid w:val="1A1F744B"/>
    <w:rsid w:val="1AB10093"/>
    <w:rsid w:val="1B501DE7"/>
    <w:rsid w:val="1B6F15B6"/>
    <w:rsid w:val="1BAA2EDC"/>
    <w:rsid w:val="1C0251CB"/>
    <w:rsid w:val="1CE157EE"/>
    <w:rsid w:val="1D014A01"/>
    <w:rsid w:val="1D022362"/>
    <w:rsid w:val="1D091B60"/>
    <w:rsid w:val="1D794AE5"/>
    <w:rsid w:val="1DD26311"/>
    <w:rsid w:val="1DE57DAF"/>
    <w:rsid w:val="1DF34644"/>
    <w:rsid w:val="1E58312C"/>
    <w:rsid w:val="1EF67CA4"/>
    <w:rsid w:val="1F213FD9"/>
    <w:rsid w:val="1FCD26AF"/>
    <w:rsid w:val="20642787"/>
    <w:rsid w:val="20C83310"/>
    <w:rsid w:val="20EC77A3"/>
    <w:rsid w:val="21556F04"/>
    <w:rsid w:val="22403BD3"/>
    <w:rsid w:val="24B92327"/>
    <w:rsid w:val="2533755C"/>
    <w:rsid w:val="25EF47F3"/>
    <w:rsid w:val="26396DF4"/>
    <w:rsid w:val="266B763B"/>
    <w:rsid w:val="27167136"/>
    <w:rsid w:val="27B23302"/>
    <w:rsid w:val="27D424D7"/>
    <w:rsid w:val="285722C3"/>
    <w:rsid w:val="28DC1FF8"/>
    <w:rsid w:val="29310A5F"/>
    <w:rsid w:val="29C37A35"/>
    <w:rsid w:val="2A076083"/>
    <w:rsid w:val="2A306CA5"/>
    <w:rsid w:val="2A73162E"/>
    <w:rsid w:val="2AFA2E94"/>
    <w:rsid w:val="2B167953"/>
    <w:rsid w:val="2B200583"/>
    <w:rsid w:val="2B8209DE"/>
    <w:rsid w:val="2C6762A3"/>
    <w:rsid w:val="2D5F4C37"/>
    <w:rsid w:val="2FE029D7"/>
    <w:rsid w:val="2FF06E00"/>
    <w:rsid w:val="315F0B22"/>
    <w:rsid w:val="31BE24D6"/>
    <w:rsid w:val="31D84415"/>
    <w:rsid w:val="32285F6F"/>
    <w:rsid w:val="32770556"/>
    <w:rsid w:val="329C0913"/>
    <w:rsid w:val="3337290D"/>
    <w:rsid w:val="352930DB"/>
    <w:rsid w:val="35573069"/>
    <w:rsid w:val="358C217E"/>
    <w:rsid w:val="359E7284"/>
    <w:rsid w:val="359F188C"/>
    <w:rsid w:val="36C9128A"/>
    <w:rsid w:val="37841E99"/>
    <w:rsid w:val="379C594F"/>
    <w:rsid w:val="37BF1123"/>
    <w:rsid w:val="37C85E36"/>
    <w:rsid w:val="38BE4696"/>
    <w:rsid w:val="39B82A39"/>
    <w:rsid w:val="39F33306"/>
    <w:rsid w:val="3B1705E5"/>
    <w:rsid w:val="3B18334B"/>
    <w:rsid w:val="3B36794F"/>
    <w:rsid w:val="3B544954"/>
    <w:rsid w:val="3B793FF0"/>
    <w:rsid w:val="3B97076E"/>
    <w:rsid w:val="3C5A5928"/>
    <w:rsid w:val="3C6A5B02"/>
    <w:rsid w:val="3D2757A1"/>
    <w:rsid w:val="3D3D4FC4"/>
    <w:rsid w:val="3DDF3AB1"/>
    <w:rsid w:val="3DE60B7E"/>
    <w:rsid w:val="3E1D0952"/>
    <w:rsid w:val="3E42660A"/>
    <w:rsid w:val="3E7555B1"/>
    <w:rsid w:val="3EA72472"/>
    <w:rsid w:val="3EDE1208"/>
    <w:rsid w:val="3F0527E5"/>
    <w:rsid w:val="3F16459E"/>
    <w:rsid w:val="3F4A6687"/>
    <w:rsid w:val="4004000C"/>
    <w:rsid w:val="411B6CE5"/>
    <w:rsid w:val="412070D7"/>
    <w:rsid w:val="41314E40"/>
    <w:rsid w:val="415C674B"/>
    <w:rsid w:val="426C1EA8"/>
    <w:rsid w:val="42E86A87"/>
    <w:rsid w:val="43136432"/>
    <w:rsid w:val="443A3B12"/>
    <w:rsid w:val="44487B36"/>
    <w:rsid w:val="44EF6BE8"/>
    <w:rsid w:val="45A30364"/>
    <w:rsid w:val="465B470D"/>
    <w:rsid w:val="469D6AD4"/>
    <w:rsid w:val="47674801"/>
    <w:rsid w:val="48225EF7"/>
    <w:rsid w:val="48A36D47"/>
    <w:rsid w:val="495C4A24"/>
    <w:rsid w:val="49A21DF3"/>
    <w:rsid w:val="49C811E4"/>
    <w:rsid w:val="4A216E30"/>
    <w:rsid w:val="4B7951CB"/>
    <w:rsid w:val="4B7C315C"/>
    <w:rsid w:val="4B9300D7"/>
    <w:rsid w:val="4BAB7F90"/>
    <w:rsid w:val="4BC31ED0"/>
    <w:rsid w:val="4BD53EDA"/>
    <w:rsid w:val="4BE11807"/>
    <w:rsid w:val="4C484CE5"/>
    <w:rsid w:val="4DAC4ACA"/>
    <w:rsid w:val="4DD06F63"/>
    <w:rsid w:val="4E043596"/>
    <w:rsid w:val="4EA8523F"/>
    <w:rsid w:val="4F186D58"/>
    <w:rsid w:val="4F224836"/>
    <w:rsid w:val="51760217"/>
    <w:rsid w:val="51E36677"/>
    <w:rsid w:val="522F6E0C"/>
    <w:rsid w:val="52463BA1"/>
    <w:rsid w:val="529F078E"/>
    <w:rsid w:val="53C0244D"/>
    <w:rsid w:val="53DD4D4E"/>
    <w:rsid w:val="53E578CE"/>
    <w:rsid w:val="53EA10F5"/>
    <w:rsid w:val="543B029D"/>
    <w:rsid w:val="54977029"/>
    <w:rsid w:val="554E5773"/>
    <w:rsid w:val="555A3CBC"/>
    <w:rsid w:val="55EF4EA6"/>
    <w:rsid w:val="56530F5D"/>
    <w:rsid w:val="56EE372E"/>
    <w:rsid w:val="5842572D"/>
    <w:rsid w:val="598A28E2"/>
    <w:rsid w:val="5ACC6005"/>
    <w:rsid w:val="5C1336B7"/>
    <w:rsid w:val="5C263CE4"/>
    <w:rsid w:val="5C5D2777"/>
    <w:rsid w:val="5C722D7F"/>
    <w:rsid w:val="5D290C69"/>
    <w:rsid w:val="5EFA176D"/>
    <w:rsid w:val="5F0247F9"/>
    <w:rsid w:val="5F2D4A41"/>
    <w:rsid w:val="601C34ED"/>
    <w:rsid w:val="60A511FB"/>
    <w:rsid w:val="61025A59"/>
    <w:rsid w:val="613D5BBC"/>
    <w:rsid w:val="61536C39"/>
    <w:rsid w:val="616D60F9"/>
    <w:rsid w:val="62944DD7"/>
    <w:rsid w:val="63497036"/>
    <w:rsid w:val="63C1619B"/>
    <w:rsid w:val="63C25DC5"/>
    <w:rsid w:val="63C62057"/>
    <w:rsid w:val="63C73832"/>
    <w:rsid w:val="64192A39"/>
    <w:rsid w:val="64FB113D"/>
    <w:rsid w:val="6544377C"/>
    <w:rsid w:val="655F5939"/>
    <w:rsid w:val="656152C6"/>
    <w:rsid w:val="6587477F"/>
    <w:rsid w:val="658C3A08"/>
    <w:rsid w:val="65C031CA"/>
    <w:rsid w:val="65CE6852"/>
    <w:rsid w:val="65F004F9"/>
    <w:rsid w:val="66267C04"/>
    <w:rsid w:val="663F505A"/>
    <w:rsid w:val="667F2393"/>
    <w:rsid w:val="66EE5541"/>
    <w:rsid w:val="67086152"/>
    <w:rsid w:val="687E45FE"/>
    <w:rsid w:val="692172FD"/>
    <w:rsid w:val="6A3829EE"/>
    <w:rsid w:val="6A924CB7"/>
    <w:rsid w:val="6AE0292E"/>
    <w:rsid w:val="6B474EF5"/>
    <w:rsid w:val="6BC27679"/>
    <w:rsid w:val="6BC54EFE"/>
    <w:rsid w:val="6C560CAE"/>
    <w:rsid w:val="6CD15296"/>
    <w:rsid w:val="6D903FF5"/>
    <w:rsid w:val="6DA955B8"/>
    <w:rsid w:val="6DE346AB"/>
    <w:rsid w:val="6FFB2E76"/>
    <w:rsid w:val="70AB70D6"/>
    <w:rsid w:val="70DE5507"/>
    <w:rsid w:val="718C12E2"/>
    <w:rsid w:val="71C34D91"/>
    <w:rsid w:val="71ED38AA"/>
    <w:rsid w:val="72DB435C"/>
    <w:rsid w:val="74ED1B1B"/>
    <w:rsid w:val="750837F0"/>
    <w:rsid w:val="75F344CA"/>
    <w:rsid w:val="762A73EF"/>
    <w:rsid w:val="7631412E"/>
    <w:rsid w:val="764F62AB"/>
    <w:rsid w:val="765C45EC"/>
    <w:rsid w:val="768A7619"/>
    <w:rsid w:val="7714640F"/>
    <w:rsid w:val="77EA362A"/>
    <w:rsid w:val="7875383E"/>
    <w:rsid w:val="78C72FCC"/>
    <w:rsid w:val="796D60A4"/>
    <w:rsid w:val="797845CD"/>
    <w:rsid w:val="79A031D5"/>
    <w:rsid w:val="79A52681"/>
    <w:rsid w:val="7A1525F7"/>
    <w:rsid w:val="7A3E6CB6"/>
    <w:rsid w:val="7A99799F"/>
    <w:rsid w:val="7B3FA8AF"/>
    <w:rsid w:val="7B420052"/>
    <w:rsid w:val="7B7D43A1"/>
    <w:rsid w:val="7BD06A28"/>
    <w:rsid w:val="7C1E4CD7"/>
    <w:rsid w:val="7C3A7C0B"/>
    <w:rsid w:val="7C5248E4"/>
    <w:rsid w:val="7C566698"/>
    <w:rsid w:val="7CE56AF6"/>
    <w:rsid w:val="7CF02E5B"/>
    <w:rsid w:val="7D213FB2"/>
    <w:rsid w:val="7FF723E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3">
    <w:name w:val="header"/>
    <w:basedOn w:val="1"/>
    <w:qFormat/>
    <w:uiPriority w:val="0"/>
    <w:pP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5">
    <w:name w:val="Normal (Web)"/>
    <w:basedOn w:val="1"/>
    <w:unhideWhenUsed/>
    <w:qFormat/>
    <w:uiPriority w:val="0"/>
    <w:pPr>
      <w:spacing w:before="100" w:beforeAutospacing="1" w:after="100" w:afterAutospacing="1"/>
    </w:pPr>
  </w:style>
  <w:style w:type="character" w:styleId="8">
    <w:name w:val="Strong"/>
    <w:qFormat/>
    <w:uiPriority w:val="0"/>
    <w:rPr>
      <w:b/>
    </w:rPr>
  </w:style>
  <w:style w:type="paragraph" w:customStyle="1" w:styleId="9">
    <w:name w:val="列出段落1"/>
    <w:basedOn w:val="1"/>
    <w:qFormat/>
    <w:uiPriority w:val="99"/>
    <w:pPr>
      <w:ind w:firstLine="420" w:firstLineChars="200"/>
    </w:pPr>
    <w:rPr>
      <w:rFonts w:hint="default"/>
    </w:rPr>
  </w:style>
  <w:style w:type="paragraph" w:customStyle="1" w:styleId="10">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1">
    <w:name w:val="21"/>
    <w:qFormat/>
    <w:uiPriority w:val="0"/>
    <w:rPr>
      <w:rFonts w:hint="default" w:ascii="Wingdings" w:hAnsi="Wingdings" w:cs="Wingdings"/>
      <w:b/>
      <w:bCs/>
    </w:rPr>
  </w:style>
  <w:style w:type="paragraph" w:customStyle="1" w:styleId="12">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30</Pages>
  <Words>11236</Words>
  <Characters>18486</Characters>
  <Lines>161</Lines>
  <Paragraphs>45</Paragraphs>
  <TotalTime>2</TotalTime>
  <ScaleCrop>false</ScaleCrop>
  <LinksUpToDate>false</LinksUpToDate>
  <CharactersWithSpaces>20246</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2024-07-11T18:00:00Z</dcterms:created>
  <dc:creator>Administrator</dc:creator>
  <cp:lastModifiedBy> </cp:lastModifiedBy>
  <dcterms:modified xsi:type="dcterms:W3CDTF">2026-05-25T20:31:14Z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BB46EABDBB2749749395447164B066B3_12</vt:lpwstr>
  </property>
  <property fmtid="{D5CDD505-2E9C-101B-9397-08002B2CF9AE}" pid="4" name="KSOTemplateDocerSaveRecord">
    <vt:lpwstr>eyJoZGlkIjoiZDliOTQzOTU1MDU5NzQ5MzdjMWJkMGRmNDMyNmQ4ZTYiLCJ1c2VySWQiOiI0NTk4NjQxMDEifQ==</vt:lpwstr>
  </property>
</Properties>
</file>