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ind w:firstLine="1760" w:firstLineChars="400"/>
        <w:jc w:val="both"/>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巫溪县塘坊镇农业服务中心</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p>
    <w:p>
      <w:pPr>
        <w:pStyle w:val="7"/>
        <w:shd w:val="clear" w:color="auto" w:fill="FFFFFF"/>
        <w:spacing w:before="0" w:beforeAutospacing="0" w:after="0" w:afterAutospacing="0" w:line="596" w:lineRule="exact"/>
        <w:ind w:firstLine="642"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pPr>
        <w:pStyle w:val="7"/>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widowControl w:val="0"/>
        <w:spacing w:line="594" w:lineRule="exact"/>
        <w:ind w:firstLine="640" w:firstLineChars="200"/>
        <w:rPr>
          <w:rFonts w:hint="default" w:ascii="方正仿宋_GBK" w:hAnsi="Calibri" w:eastAsia="方正仿宋_GBK"/>
          <w:sz w:val="32"/>
          <w:szCs w:val="32"/>
        </w:rPr>
      </w:pPr>
      <w:r>
        <w:rPr>
          <w:rFonts w:hint="default" w:ascii="方正仿宋_GBK" w:hAnsi="Calibri" w:eastAsia="方正仿宋_GBK"/>
          <w:sz w:val="32"/>
          <w:szCs w:val="32"/>
        </w:rPr>
        <w:t>塘坊镇</w:t>
      </w:r>
      <w:r>
        <w:rPr>
          <w:rFonts w:ascii="方正仿宋_GBK" w:hAnsi="Calibri" w:eastAsia="方正仿宋_GBK"/>
          <w:sz w:val="32"/>
          <w:szCs w:val="32"/>
        </w:rPr>
        <w:t>产业服务中心</w:t>
      </w:r>
      <w:r>
        <w:rPr>
          <w:rFonts w:hint="default" w:ascii="方正仿宋_GBK" w:hAnsi="Calibri" w:eastAsia="方正仿宋_GBK"/>
          <w:sz w:val="32"/>
          <w:szCs w:val="32"/>
        </w:rPr>
        <w:t>是巫溪县塘坊镇人民政府的下设机构。主要职责具体包括：</w:t>
      </w:r>
      <w:r>
        <w:rPr>
          <w:rFonts w:ascii="方正仿宋_GBK" w:hAnsi="Calibri" w:eastAsia="方正仿宋_GBK"/>
          <w:sz w:val="32"/>
          <w:szCs w:val="32"/>
        </w:rPr>
        <w:t>承担农业、畜牧、水产、林业、水利等技术培训和服务，推广体系管理</w:t>
      </w:r>
      <w:r>
        <w:rPr>
          <w:rFonts w:hint="default" w:ascii="方正仿宋_GBK" w:hAnsi="Calibri" w:eastAsia="方正仿宋_GBK"/>
          <w:sz w:val="32"/>
          <w:szCs w:val="32"/>
        </w:rPr>
        <w:t>，促进农业发展</w:t>
      </w:r>
      <w:r>
        <w:rPr>
          <w:rFonts w:ascii="方正仿宋_GBK" w:hAnsi="Calibri" w:eastAsia="方正仿宋_GBK"/>
          <w:sz w:val="32"/>
          <w:szCs w:val="32"/>
        </w:rPr>
        <w:t>，同时</w:t>
      </w:r>
      <w:r>
        <w:rPr>
          <w:rFonts w:hint="default" w:ascii="方正仿宋_GBK" w:hAnsi="Calibri" w:eastAsia="方正仿宋_GBK"/>
          <w:sz w:val="32"/>
          <w:szCs w:val="32"/>
        </w:rPr>
        <w:t>完成党委政府安排的其他工作。</w:t>
      </w:r>
    </w:p>
    <w:p>
      <w:pPr>
        <w:pStyle w:val="7"/>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widowControl w:val="0"/>
        <w:ind w:firstLine="640" w:firstLineChars="200"/>
        <w:rPr>
          <w:rFonts w:hint="default" w:ascii="方正仿宋_GBK" w:hAnsi="Calibri" w:eastAsia="方正仿宋_GBK"/>
          <w:sz w:val="32"/>
          <w:szCs w:val="32"/>
        </w:rPr>
      </w:pPr>
      <w:r>
        <w:rPr>
          <w:rFonts w:hint="default" w:ascii="方正仿宋_GBK" w:hAnsi="Calibri" w:eastAsia="方正仿宋_GBK"/>
          <w:sz w:val="32"/>
          <w:szCs w:val="32"/>
        </w:rPr>
        <w:t>巫溪县塘坊镇</w:t>
      </w:r>
      <w:r>
        <w:rPr>
          <w:rFonts w:ascii="方正仿宋_GBK" w:hAnsi="Calibri" w:eastAsia="方正仿宋_GBK"/>
          <w:sz w:val="32"/>
          <w:szCs w:val="32"/>
        </w:rPr>
        <w:t>产业服务中心设事业单位5个，共15人。</w:t>
      </w:r>
    </w:p>
    <w:p>
      <w:pPr>
        <w:widowControl w:val="0"/>
        <w:ind w:firstLine="640" w:firstLineChars="200"/>
        <w:rPr>
          <w:rFonts w:hint="default" w:ascii="方正仿宋_GBK" w:hAnsi="Calibri" w:eastAsia="方正仿宋_GBK"/>
          <w:sz w:val="32"/>
          <w:szCs w:val="32"/>
        </w:rPr>
      </w:pPr>
      <w:r>
        <w:rPr>
          <w:rFonts w:ascii="方正仿宋_GBK" w:hAnsi="Calibri" w:eastAsia="方正仿宋_GBK"/>
          <w:sz w:val="32"/>
          <w:szCs w:val="32"/>
        </w:rPr>
        <w:t>1.便民服务中心(退役军人服务站)：</w:t>
      </w:r>
      <w:r>
        <w:rPr>
          <w:rStyle w:val="15"/>
          <w:rFonts w:hint="default" w:eastAsia="方正仿宋_GBK"/>
          <w:sz w:val="32"/>
          <w:szCs w:val="32"/>
        </w:rPr>
        <w:t>承担职业技能培训、就业指导、创业扶持等劳动就业服务。承担退役军人关系转接、联络接待、困难帮扶、信息采集、情况反映、立功喜报、节日慰问、政策咨询等退役军人服务工作。指导村（社区）开展便民服务工作。</w:t>
      </w:r>
    </w:p>
    <w:p>
      <w:pPr>
        <w:widowControl w:val="0"/>
        <w:spacing w:line="594" w:lineRule="exact"/>
        <w:ind w:firstLine="640" w:firstLineChars="200"/>
        <w:rPr>
          <w:rStyle w:val="15"/>
          <w:rFonts w:hint="default" w:eastAsia="方正仿宋_GBK"/>
          <w:sz w:val="32"/>
          <w:szCs w:val="32"/>
        </w:rPr>
      </w:pPr>
      <w:r>
        <w:rPr>
          <w:rStyle w:val="15"/>
          <w:rFonts w:eastAsia="方正仿宋_GBK"/>
          <w:sz w:val="32"/>
          <w:szCs w:val="32"/>
        </w:rPr>
        <w:t>2.综合行政执法大队：</w:t>
      </w:r>
      <w:r>
        <w:rPr>
          <w:rStyle w:val="15"/>
          <w:rFonts w:hint="default" w:eastAsia="方正仿宋_GBK"/>
          <w:sz w:val="32"/>
          <w:szCs w:val="32"/>
        </w:rPr>
        <w:t>集中行使权限范围内的行政处罚以及与之相关的行政检查、行政强制权等执法职能。根据执法事项清单，开展综合行政执法工作。协助、配合县级有关部门及其派驻机构开展联合执法。</w:t>
      </w:r>
    </w:p>
    <w:p>
      <w:pPr>
        <w:widowControl w:val="0"/>
        <w:spacing w:line="594" w:lineRule="exact"/>
        <w:ind w:firstLine="640" w:firstLineChars="200"/>
        <w:rPr>
          <w:rFonts w:hint="default" w:ascii="方正仿宋_GBK" w:hAnsi="Calibri" w:eastAsia="方正仿宋_GBK"/>
          <w:sz w:val="32"/>
          <w:szCs w:val="32"/>
        </w:rPr>
      </w:pPr>
      <w:r>
        <w:rPr>
          <w:rFonts w:ascii="方正仿宋_GBK" w:hAnsi="Calibri" w:eastAsia="方正仿宋_GBK"/>
          <w:sz w:val="32"/>
          <w:szCs w:val="32"/>
        </w:rPr>
        <w:t>3.农业服务中心：</w:t>
      </w:r>
      <w:r>
        <w:rPr>
          <w:rStyle w:val="15"/>
          <w:rFonts w:hint="default" w:eastAsia="方正仿宋_GBK"/>
          <w:sz w:val="32"/>
          <w:szCs w:val="32"/>
        </w:rPr>
        <w:t>承担农业、畜牧、水产、林业、水利、工业、服务业、科技等领域的技术推广和服务工作，开展相关业务培训，促进一、二、三产业融合发展。承担辖区内动物疫病监测报告、病死畜禽无害化处理，指导做好动物免疫、兽药饲料使用，开展动物产地检疫、畜禽调运备案等工作。开展植物疫病的田间调查上报、行业调查，指导植物疫病防控与处置，协助开展产地检疫、调运检疫和市场巡查等工作。</w:t>
      </w:r>
    </w:p>
    <w:p>
      <w:pPr>
        <w:pStyle w:val="2"/>
        <w:spacing w:line="594" w:lineRule="exact"/>
        <w:ind w:firstLine="640" w:firstLineChars="200"/>
        <w:textAlignment w:val="baseline"/>
        <w:rPr>
          <w:rFonts w:hint="default" w:ascii="方正仿宋_GBK" w:hAnsi="Calibri" w:eastAsia="方正仿宋_GBK"/>
          <w:szCs w:val="32"/>
        </w:rPr>
      </w:pPr>
      <w:r>
        <w:rPr>
          <w:rFonts w:ascii="方正仿宋_GBK" w:hAnsi="Calibri" w:eastAsia="方正仿宋_GBK"/>
          <w:szCs w:val="32"/>
        </w:rPr>
        <w:t>4.新时代文明实践服务中心：</w:t>
      </w:r>
      <w:r>
        <w:rPr>
          <w:rStyle w:val="15"/>
          <w:rFonts w:hint="default" w:eastAsia="方正仿宋_GBK"/>
          <w:sz w:val="32"/>
          <w:szCs w:val="32"/>
        </w:rPr>
        <w:t>承担新时代文明实践和精神文明建设服务工作，统筹志愿服务工作。承担文化、旅游、宣传、广播电视、体育等方面的服务工作。承担辖区内文化体育阵地建设。组织开展各类文体活动。</w:t>
      </w:r>
    </w:p>
    <w:p>
      <w:pPr>
        <w:widowControl w:val="0"/>
        <w:spacing w:line="594" w:lineRule="exact"/>
        <w:ind w:firstLine="640" w:firstLineChars="200"/>
        <w:rPr>
          <w:rFonts w:hint="default" w:ascii="方正仿宋_GBK" w:hAnsi="Calibri" w:eastAsia="仿宋_GB2312"/>
          <w:sz w:val="32"/>
          <w:szCs w:val="32"/>
        </w:rPr>
      </w:pPr>
      <w:r>
        <w:rPr>
          <w:rFonts w:ascii="方正仿宋_GBK" w:hAnsi="Calibri" w:eastAsia="方正仿宋_GBK"/>
          <w:sz w:val="32"/>
          <w:szCs w:val="32"/>
        </w:rPr>
        <w:t>5.基层治理服务中心：</w:t>
      </w:r>
      <w:r>
        <w:rPr>
          <w:rStyle w:val="15"/>
          <w:rFonts w:hint="default" w:eastAsia="方正仿宋_GBK"/>
          <w:sz w:val="32"/>
          <w:szCs w:val="32"/>
        </w:rPr>
        <w:t>承担网格、微网格设置优化有关事务性和服务性工作，统筹协调网格治理团队有关事项。承担物业管理服务工作。为社会组织和群众提供服务。协助开展基层治理智治平台运行、监测相关工作为基层治理提供服务。</w:t>
      </w:r>
    </w:p>
    <w:p>
      <w:pPr>
        <w:pStyle w:val="7"/>
        <w:shd w:val="clear" w:color="auto" w:fill="FFFFFF"/>
        <w:spacing w:before="0" w:beforeAutospacing="0" w:after="0" w:afterAutospacing="0" w:line="596" w:lineRule="exact"/>
        <w:ind w:firstLine="642"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二、部门决算收支情况说明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2"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2024年度收入总计312.81万元，支出总计</w:t>
      </w:r>
      <w:r>
        <w:rPr>
          <w:rFonts w:ascii="方正仿宋_GBK" w:hAnsi="方正仿宋_GBK" w:eastAsia="方正仿宋_GBK" w:cs="方正仿宋_GBK"/>
          <w:sz w:val="32"/>
          <w:szCs w:val="32"/>
        </w:rPr>
        <w:t>312.81</w:t>
      </w:r>
      <w:r>
        <w:rPr>
          <w:rFonts w:ascii="方正仿宋_GBK" w:hAnsi="方正仿宋_GBK" w:eastAsia="方正仿宋_GBK" w:cs="方正仿宋_GBK"/>
          <w:sz w:val="32"/>
          <w:szCs w:val="32"/>
          <w:shd w:val="clear" w:color="auto" w:fill="FFFFFF"/>
        </w:rPr>
        <w:t>万元。收入支出与2023年度相比，增加312.81万元，增长100.0%，主要原因是农业服务中心本年度成为独立核算机构，单独编报决算。</w:t>
      </w:r>
    </w:p>
    <w:p>
      <w:pPr>
        <w:pStyle w:val="7"/>
        <w:shd w:val="clear" w:color="auto" w:fill="FFFFFF"/>
        <w:ind w:firstLine="642"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2024年度收入合计312.81万元，与2023年度相比，增加312.81万元，增长100.0%，主要原因是农业服务中心本年度成为独立核算机构，单独编报决算。其中：财政拨款收入</w:t>
      </w:r>
      <w:r>
        <w:rPr>
          <w:rFonts w:ascii="方正仿宋_GBK" w:hAnsi="方正仿宋_GBK" w:eastAsia="方正仿宋_GBK" w:cs="方正仿宋_GBK"/>
          <w:sz w:val="32"/>
          <w:szCs w:val="32"/>
        </w:rPr>
        <w:t>312.81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312.81</w:t>
      </w:r>
      <w:r>
        <w:rPr>
          <w:rFonts w:ascii="方正仿宋_GBK" w:hAnsi="方正仿宋_GBK" w:eastAsia="方正仿宋_GBK" w:cs="方正仿宋_GBK"/>
          <w:sz w:val="32"/>
          <w:szCs w:val="32"/>
          <w:shd w:val="clear" w:color="auto" w:fill="FFFFFF"/>
        </w:rPr>
        <w:t>万元，与2023年度相比，增加312.81万元，增长100.0%，主要原因是农业服务中心本年度成为独立核算机构，单独编报决算。其中：基本支出</w:t>
      </w:r>
      <w:r>
        <w:rPr>
          <w:rFonts w:ascii="方正仿宋_GBK" w:hAnsi="方正仿宋_GBK" w:eastAsia="方正仿宋_GBK" w:cs="方正仿宋_GBK"/>
          <w:sz w:val="32"/>
          <w:szCs w:val="32"/>
        </w:rPr>
        <w:t>312.81</w:t>
      </w:r>
      <w:r>
        <w:rPr>
          <w:rFonts w:ascii="方正仿宋_GBK" w:hAnsi="方正仿宋_GBK" w:eastAsia="方正仿宋_GBK" w:cs="方正仿宋_GBK"/>
          <w:sz w:val="32"/>
          <w:szCs w:val="32"/>
          <w:shd w:val="clear" w:color="auto" w:fill="FFFFFF"/>
        </w:rPr>
        <w:t>万元，占100.00%。此外，结余分配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万元，与2023年度相比，无增减，主要原因是农业服务中心本年度成为独立核算机构，单独编报决算。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2024年度财政拨款收、支总计312.81万元。与2023年相比，财政拨款收、支总计各增加312.81万元，增长100.0%。主要原因是农业服务中心本年度成为独立核算机构，单独编报决算。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312.81</w:t>
      </w:r>
      <w:r>
        <w:rPr>
          <w:rFonts w:ascii="方正仿宋_GBK" w:hAnsi="方正仿宋_GBK" w:eastAsia="方正仿宋_GBK" w:cs="方正仿宋_GBK"/>
          <w:sz w:val="32"/>
          <w:szCs w:val="32"/>
          <w:shd w:val="clear" w:color="auto" w:fill="FFFFFF"/>
        </w:rPr>
        <w:t>万元，与2023年度相比，增加312.81万元，增长100.0%。主要原因是一般公共服务支出增加212.61万元，社会保障和就业支出增加74.25万元，卫生健康支出增加11.8万元，住房保障支出增加14.15万元。较年初预算数减少5.09万元，下降1.6%。主要原因是本单位2024年退休1人，人员经费和公用经费较年初预算数有所减少，一般公共服务支出减少20.31万元，社会保障和就业支出增加15.22万元。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312.81</w:t>
      </w:r>
      <w:r>
        <w:rPr>
          <w:rFonts w:ascii="方正仿宋_GBK" w:hAnsi="方正仿宋_GBK" w:eastAsia="方正仿宋_GBK" w:cs="方正仿宋_GBK"/>
          <w:sz w:val="32"/>
          <w:szCs w:val="32"/>
          <w:shd w:val="clear" w:color="auto" w:fill="FFFFFF"/>
        </w:rPr>
        <w:t>万元，与2023年度相比，增加312.81万元，增长100.0%。主要原因是一般公共服务支出增加212.61万元，社会保障和就业支出增加74.25万元，卫生健康支出增加11.8万元，住房保障支出增加14.15万元。较年初预算数减少5.09万元，下降1.6%。主要原因是一般公共服务支出减少20.31万元，社会保障和就业支出增加15.22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万元，与2023年度相比，无增减，主要原因是新运行预算一体化系统，每年财政资金实行零结转。</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212.61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67.97</w:t>
      </w:r>
      <w:r>
        <w:rPr>
          <w:rFonts w:ascii="方正仿宋_GBK" w:hAnsi="方正仿宋_GBK" w:eastAsia="方正仿宋_GBK" w:cs="方正仿宋_GBK"/>
          <w:sz w:val="32"/>
          <w:szCs w:val="32"/>
          <w:shd w:val="clear" w:color="auto" w:fill="FFFFFF"/>
        </w:rPr>
        <w:t>%，较年初预算数减少20.31万元，下降8.7%，主要原因是本单位2024年退休1人，人员经费和公用经费较年初预算数有所减少。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74.25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23.74</w:t>
      </w:r>
      <w:r>
        <w:rPr>
          <w:rFonts w:ascii="方正仿宋_GBK" w:hAnsi="方正仿宋_GBK" w:eastAsia="方正仿宋_GBK" w:cs="方正仿宋_GBK"/>
          <w:sz w:val="32"/>
          <w:szCs w:val="32"/>
          <w:shd w:val="clear" w:color="auto" w:fill="FFFFFF"/>
        </w:rPr>
        <w:t>%，较年初预算数增加15.22万元，增长25.8%，主要原因是年中追加事业单位退休人员健康休养费。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11.80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3.77</w:t>
      </w:r>
      <w:r>
        <w:rPr>
          <w:rFonts w:ascii="方正仿宋_GBK" w:hAnsi="方正仿宋_GBK" w:eastAsia="方正仿宋_GBK" w:cs="方正仿宋_GBK"/>
          <w:sz w:val="32"/>
          <w:szCs w:val="32"/>
          <w:shd w:val="clear" w:color="auto" w:fill="FFFFFF"/>
        </w:rPr>
        <w:t>%，较年初预算数无增减，主要原因是严格按照年初预算执行职工保险标准。</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住房保障支出14.16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4.53</w:t>
      </w:r>
      <w:r>
        <w:rPr>
          <w:rFonts w:ascii="方正仿宋_GBK" w:hAnsi="方正仿宋_GBK" w:eastAsia="方正仿宋_GBK" w:cs="方正仿宋_GBK"/>
          <w:sz w:val="32"/>
          <w:szCs w:val="32"/>
          <w:shd w:val="clear" w:color="auto" w:fill="FFFFFF"/>
        </w:rPr>
        <w:t>%，较年初预算数无增减，主要原因是格按照年初预算执行职工公积金购买。</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312.81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281.90</w:t>
      </w:r>
      <w:r>
        <w:rPr>
          <w:rFonts w:ascii="方正仿宋_GBK" w:hAnsi="方正仿宋_GBK" w:eastAsia="方正仿宋_GBK" w:cs="方正仿宋_GBK"/>
          <w:sz w:val="32"/>
          <w:szCs w:val="32"/>
          <w:shd w:val="clear" w:color="auto" w:fill="FFFFFF"/>
        </w:rPr>
        <w:t>万元，与2023年度相比，增加281.90万元，增长100.0%，主要原因是2024年农业服务中心成为独立核算机构，决算单独编报，人员经费增加。人员经费用途主要包括工资、基础绩效、超额绩效、社会保障缴费、住房公积金。公用经费</w:t>
      </w:r>
      <w:r>
        <w:rPr>
          <w:rFonts w:ascii="方正仿宋_GBK" w:hAnsi="方正仿宋_GBK" w:eastAsia="方正仿宋_GBK" w:cs="方正仿宋_GBK"/>
          <w:sz w:val="32"/>
          <w:szCs w:val="32"/>
        </w:rPr>
        <w:t>30.91</w:t>
      </w:r>
      <w:r>
        <w:rPr>
          <w:rFonts w:ascii="方正仿宋_GBK" w:hAnsi="方正仿宋_GBK" w:eastAsia="方正仿宋_GBK" w:cs="方正仿宋_GBK"/>
          <w:sz w:val="32"/>
          <w:szCs w:val="32"/>
          <w:shd w:val="clear" w:color="auto" w:fill="FFFFFF"/>
        </w:rPr>
        <w:t>万元，与2023年度相比，增加30.91万元，增长100.0%，主要原因是2024年农业服务中心成为独立核算机构，决算单独编报，公用经费增加。公用经费用途主要包括办公费、差旅费、公务接待费、工会经费、福利费、其他商品和服务支出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1"/>
        <w:autoSpaceDE w:val="0"/>
        <w:ind w:firstLine="0" w:firstLineChars="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本部门2024年度无政府性基金预算财政收支。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本部门2024年度无国有资本经营预算财政拨款支出 。</w:t>
      </w:r>
    </w:p>
    <w:p>
      <w:pPr>
        <w:pStyle w:val="7"/>
        <w:shd w:val="clear" w:color="auto" w:fill="FFFFFF"/>
        <w:spacing w:before="0" w:beforeAutospacing="0" w:after="0" w:afterAutospacing="0" w:line="596" w:lineRule="exact"/>
        <w:ind w:firstLine="642"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2.64</w:t>
      </w:r>
      <w:r>
        <w:rPr>
          <w:rFonts w:ascii="方正仿宋_GBK" w:hAnsi="方正仿宋_GBK" w:eastAsia="方正仿宋_GBK" w:cs="方正仿宋_GBK"/>
          <w:sz w:val="32"/>
          <w:szCs w:val="32"/>
          <w:shd w:val="clear" w:color="auto" w:fill="FFFFFF"/>
        </w:rPr>
        <w:t>万元，较年初预算数减少0.36万元，下降12.0%，主要原因是公务接待费减少0.36万元，镇严格按照“三公”经费要求，压减开支，严格控制三公经费支出，认真贯彻落实中央八项规定精神，按照只减不增的要求从严控制</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三公</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经费。较上年支出数增加2.64万元，增长100.0%，主要原因是</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2024年农业服务中心成为独立核算机构，决算单独编报，公用经费增加。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本部门为基层乡镇人民政府下级农业服务中心，无因公出国（境）费用。费用支出较年初预算数无增减，主要原因是本部门无因公出国（境）费用。较上年支出数无增减，主要原因是本部门无因公出国（境）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因本部门为基层乡镇人民政府下级农业服务中心，公务车购置由机关事务局统一购买。费用支出较年初预算数无增减，主要原因是本部门无公务车购置费。较上年支出数无增减，主要原因是本部门无公务车购置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主要用于因本部门为基层乡镇人民政府下级农业服务中心，无公务车运行维护费。费用支出较年初预算数无增减，主要原因是本部门为基层乡镇人民政府下级农业服务中心，无公务车运行维护费。与2023年度相比，无增减，主要原因是2024年农业服务中心为单独核算机构，单独编报决算。</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2.64</w:t>
      </w:r>
      <w:r>
        <w:rPr>
          <w:rFonts w:ascii="方正仿宋_GBK" w:hAnsi="方正仿宋_GBK" w:eastAsia="方正仿宋_GBK" w:cs="方正仿宋_GBK"/>
          <w:sz w:val="32"/>
          <w:szCs w:val="32"/>
          <w:shd w:val="clear" w:color="auto" w:fill="FFFFFF"/>
        </w:rPr>
        <w:t>万元，主要用于接待上级部门到我单位调研、检查、指导工作发生的接待</w:t>
      </w:r>
      <w:bookmarkStart w:id="0" w:name="_GoBack"/>
      <w:bookmarkEnd w:id="0"/>
      <w:r>
        <w:rPr>
          <w:rFonts w:ascii="方正仿宋_GBK" w:hAnsi="方正仿宋_GBK" w:eastAsia="方正仿宋_GBK" w:cs="方正仿宋_GBK"/>
          <w:sz w:val="32"/>
          <w:szCs w:val="32"/>
          <w:shd w:val="clear" w:color="auto" w:fill="FFFFFF"/>
        </w:rPr>
        <w:t>支出。其中共接待63批次、587人次。费用支出较年初预算数减少0.36万元，下降12.0%，主要原因是强化公务接待支出管理，严格遵守公务接待开支范围和开支标准，严格控制陪餐人数，对应由接待对象承担的费用一律由接待对象自行支付，公务接待费有所下降。较上年支出数增加2.64万元，增长100.0%，主要原因是2024年农业服务中心为单独核算机构，单独编报决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587</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44.91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shd w:val="clear" w:color="auto" w:fill="FFFFFF"/>
        <w:ind w:firstLine="642"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万元，与2023年度相比，无增减，主要原因是2024年农业服务中心为单独核算机构，单独编报决算。本年度培训费支出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万元，与2023年度相比，无变化，主要原因是2024年农业服务中心为单独核算机构，单独编报决算。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ascii="方正仿宋_GBK" w:hAnsi="方正仿宋_GBK" w:eastAsia="方正仿宋_GBK" w:cs="方正仿宋_GBK"/>
          <w:sz w:val="32"/>
          <w:szCs w:val="32"/>
          <w:shd w:val="clear" w:color="auto" w:fill="FFFFFF"/>
        </w:rPr>
        <w:t>我单位属塘坊镇人民政府下设农业服务中心</w:t>
      </w:r>
      <w:r>
        <w:rPr>
          <w:rFonts w:hint="default" w:ascii="方正仿宋_GBK" w:hAnsi="方正仿宋_GBK" w:eastAsia="方正仿宋_GBK" w:cs="方正仿宋_GBK"/>
          <w:sz w:val="32"/>
          <w:szCs w:val="32"/>
          <w:shd w:val="clear" w:color="auto" w:fill="FFFFFF"/>
        </w:rPr>
        <w:t>，我单位资产未纳入部门决算报表。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w:t>
      </w:r>
      <w:r>
        <w:rPr>
          <w:rFonts w:hint="default" w:ascii="方正仿宋_GBK" w:hAnsi="方正仿宋_GBK" w:eastAsia="方正仿宋_GBK" w:cs="方正仿宋_GBK"/>
          <w:sz w:val="32"/>
          <w:szCs w:val="32"/>
          <w:shd w:val="clear" w:color="auto" w:fill="FFFFFF"/>
        </w:rPr>
        <w:t>度我单位未发生政府采购事项，无相关经费支出。</w:t>
      </w:r>
    </w:p>
    <w:p>
      <w:pPr>
        <w:pStyle w:val="12"/>
        <w:spacing w:before="0" w:beforeAutospacing="0" w:after="0" w:afterAutospacing="0" w:line="596" w:lineRule="exact"/>
        <w:ind w:firstLine="642"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numPr>
          <w:ilvl w:val="0"/>
          <w:numId w:val="1"/>
        </w:numPr>
        <w:spacing w:before="0" w:beforeAutospacing="0" w:after="0" w:afterAutospacing="0" w:line="596" w:lineRule="exact"/>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单位自评情况</w:t>
      </w:r>
    </w:p>
    <w:p>
      <w:pPr>
        <w:pStyle w:val="16"/>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我单位无绩效自评。</w:t>
      </w:r>
    </w:p>
    <w:p>
      <w:pPr>
        <w:pStyle w:val="12"/>
        <w:numPr>
          <w:ilvl w:val="0"/>
          <w:numId w:val="1"/>
        </w:numPr>
        <w:spacing w:before="0" w:beforeAutospacing="0" w:after="0" w:afterAutospacing="0" w:line="596" w:lineRule="exact"/>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部门绩效评价情况</w:t>
      </w:r>
    </w:p>
    <w:p>
      <w:pPr>
        <w:pStyle w:val="16"/>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我单位无绩效评价。</w:t>
      </w:r>
    </w:p>
    <w:p>
      <w:pPr>
        <w:pStyle w:val="12"/>
        <w:numPr>
          <w:ilvl w:val="0"/>
          <w:numId w:val="1"/>
        </w:numPr>
        <w:spacing w:before="0" w:beforeAutospacing="0" w:after="0" w:afterAutospacing="0" w:line="596" w:lineRule="exact"/>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财政绩效评价情况</w:t>
      </w:r>
    </w:p>
    <w:p>
      <w:pPr>
        <w:pStyle w:val="16"/>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023-51653035</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收入支出决算表</w:t>
            </w:r>
          </w:p>
        </w:tc>
      </w:tr>
      <w:tr>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sz w:val="20"/>
              </w:rPr>
              <w:t>巫溪县塘坊镇农业服务中心</w:t>
            </w:r>
          </w:p>
        </w:tc>
        <w:tc>
          <w:tcPr>
            <w:tcW w:w="434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01表</w:t>
            </w:r>
          </w:p>
        </w:tc>
      </w:tr>
      <w:tr>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434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312.81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212.61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436" w:type="dxa"/>
            <w:tcBorders>
              <w:top w:val="nil"/>
              <w:left w:val="nil"/>
              <w:bottom w:val="nil"/>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74.25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11.80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14.16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312.81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312.81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312.81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312.81</w:t>
            </w:r>
          </w:p>
        </w:tc>
      </w:tr>
    </w:tbl>
    <w:p>
      <w:pPr>
        <w:pStyle w:val="11"/>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autoSpaceDE w:val="0"/>
        <w:ind w:firstLine="0" w:firstLineChars="0"/>
        <w:rPr>
          <w:rFonts w:cs="宋体"/>
          <w:sz w:val="21"/>
          <w:szCs w:val="21"/>
        </w:rPr>
      </w:pPr>
    </w:p>
    <w:tbl>
      <w:tblPr>
        <w:tblStyle w:val="8"/>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收入决算表</w:t>
            </w:r>
          </w:p>
        </w:tc>
      </w:tr>
      <w:tr>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cs="Arial"/>
                <w:color w:val="000000"/>
                <w:sz w:val="20"/>
                <w:szCs w:val="20"/>
              </w:rPr>
            </w:pPr>
            <w:r>
              <w:rPr>
                <w:rFonts w:cs="宋体"/>
                <w:sz w:val="21"/>
                <w:szCs w:val="21"/>
              </w:rPr>
              <w:t>部门</w:t>
            </w:r>
            <w:r>
              <w:rPr>
                <w:rFonts w:cs="宋体"/>
                <w:sz w:val="20"/>
                <w:szCs w:val="20"/>
              </w:rPr>
              <w:t>：</w:t>
            </w:r>
            <w:r>
              <w:rPr>
                <w:sz w:val="20"/>
              </w:rPr>
              <w:t>巫溪县塘坊镇农业服务中心</w:t>
            </w:r>
          </w:p>
        </w:tc>
        <w:tc>
          <w:tcPr>
            <w:tcW w:w="2408" w:type="dxa"/>
            <w:tcBorders>
              <w:top w:val="nil"/>
              <w:left w:val="nil"/>
              <w:right w:val="nil"/>
            </w:tcBorders>
            <w:shd w:val="clear" w:color="auto" w:fill="auto"/>
            <w:vAlign w:val="bottom"/>
          </w:tcPr>
          <w:p>
            <w:pPr>
              <w:jc w:val="right"/>
              <w:textAlignment w:val="bottom"/>
              <w:rPr>
                <w:rFonts w:hint="default" w:ascii="Arial" w:hAnsi="Arial" w:cs="Arial"/>
                <w:color w:val="000000"/>
                <w:sz w:val="20"/>
                <w:szCs w:val="20"/>
              </w:rPr>
            </w:pPr>
            <w:r>
              <w:rPr>
                <w:rFonts w:cs="宋体"/>
                <w:color w:val="000000"/>
                <w:sz w:val="20"/>
                <w:szCs w:val="20"/>
              </w:rPr>
              <w:t>02表</w:t>
            </w:r>
          </w:p>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其他收入</w:t>
            </w: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312.81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312.81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8"/>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支出决算表</w:t>
            </w:r>
          </w:p>
        </w:tc>
      </w:tr>
      <w:tr>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巫溪县塘坊镇农业服务中心 </w:t>
            </w:r>
          </w:p>
        </w:tc>
        <w:tc>
          <w:tcPr>
            <w:tcW w:w="2741"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03表</w:t>
            </w:r>
          </w:p>
        </w:tc>
      </w:tr>
      <w:tr>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312.81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312.81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8"/>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财政拨款收入支出决算表</w:t>
            </w:r>
          </w:p>
        </w:tc>
      </w:tr>
      <w:tr>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巫溪县塘坊镇农业服务中心</w:t>
            </w:r>
          </w:p>
        </w:tc>
        <w:tc>
          <w:tcPr>
            <w:tcW w:w="287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04表</w:t>
            </w:r>
          </w:p>
        </w:tc>
      </w:tr>
      <w:tr>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支     出</w:t>
            </w:r>
          </w:p>
        </w:tc>
      </w:tr>
      <w:tr>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312.81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212.61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212.61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312.81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312.81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312.81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312.81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312.81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312.81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pPr>
        <w:rPr>
          <w:rFonts w:hint="default" w:cs="宋体"/>
          <w:sz w:val="21"/>
          <w:szCs w:val="21"/>
        </w:rPr>
      </w:pPr>
      <w:r>
        <w:rPr>
          <w:rFonts w:cs="宋体"/>
          <w:sz w:val="21"/>
          <w:szCs w:val="21"/>
        </w:rPr>
        <w:br w:type="page"/>
      </w:r>
    </w:p>
    <w:tbl>
      <w:tblPr>
        <w:tblStyle w:val="8"/>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巫溪县塘坊镇农业服务中心</w:t>
            </w: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05表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312.81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312.81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312.81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312.81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212.61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212.61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212.61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212.61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212.61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212.61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212.61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212.61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212.61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212.61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212.61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212.61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74.25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74.25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74.25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74.25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74.25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74.25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74.25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74.25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30.72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30.72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30.72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30.72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27.45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27.45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27.45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27.45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11.80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11.80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14.16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14.16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14.16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14.16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14.16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14.16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14.16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14.16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14.16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14.16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14.16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14.16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1"/>
          <w:szCs w:val="21"/>
        </w:rPr>
        <w:br w:type="page"/>
      </w:r>
    </w:p>
    <w:tbl>
      <w:tblPr>
        <w:tblStyle w:val="8"/>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巫溪县塘坊镇农业服务中心</w:t>
            </w:r>
          </w:p>
        </w:tc>
        <w:tc>
          <w:tcPr>
            <w:tcW w:w="2682"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06表</w:t>
            </w:r>
          </w:p>
        </w:tc>
      </w:tr>
      <w:tr>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公用经费</w:t>
            </w:r>
          </w:p>
        </w:tc>
      </w:tr>
      <w:tr>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252.00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30.91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58.19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20.74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18.21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105.24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27.45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16.08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11.37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0.87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14.16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0.43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29.90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2.64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28.69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0.29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1.43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0.82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281.90 </w:t>
            </w:r>
          </w:p>
        </w:tc>
        <w:tc>
          <w:tcPr>
            <w:tcW w:w="12067" w:type="dxa"/>
            <w:gridSpan w:val="5"/>
            <w:tcBorders>
              <w:top w:val="nil"/>
              <w:left w:val="nil"/>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30.91 </w:t>
            </w:r>
          </w:p>
        </w:tc>
      </w:tr>
    </w:tbl>
    <w:p>
      <w:pPr>
        <w:rPr>
          <w:rFonts w:hint="default" w:cs="宋体"/>
          <w:sz w:val="21"/>
          <w:szCs w:val="21"/>
        </w:rPr>
      </w:pPr>
      <w:r>
        <w:rPr>
          <w:rFonts w:cs="宋体"/>
          <w:sz w:val="21"/>
          <w:szCs w:val="21"/>
        </w:rPr>
        <w:br w:type="page"/>
      </w:r>
    </w:p>
    <w:tbl>
      <w:tblPr>
        <w:tblStyle w:val="8"/>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巫溪县塘坊镇农业服务中心</w:t>
            </w: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07表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1"/>
          <w:szCs w:val="21"/>
        </w:rPr>
        <w:br w:type="page"/>
      </w:r>
    </w:p>
    <w:tbl>
      <w:tblPr>
        <w:tblStyle w:val="8"/>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部门：</w:t>
            </w:r>
            <w:r>
              <w:rPr>
                <w:color w:val="000000"/>
                <w:sz w:val="20"/>
              </w:rPr>
              <w:t>巫溪县塘坊镇农业服务中心</w:t>
            </w:r>
          </w:p>
        </w:tc>
        <w:tc>
          <w:tcPr>
            <w:tcW w:w="211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08表</w:t>
            </w:r>
          </w:p>
        </w:tc>
      </w:tr>
      <w:tr>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8"/>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jc w:val="center"/>
              <w:textAlignment w:val="bottom"/>
              <w:rPr>
                <w:rFonts w:hint="default" w:cs="宋体"/>
                <w:color w:val="000000"/>
                <w:sz w:val="44"/>
                <w:szCs w:val="44"/>
              </w:rPr>
            </w:pPr>
            <w:r>
              <w:rPr>
                <w:rFonts w:cs="宋体"/>
                <w:b/>
                <w:bCs/>
                <w:color w:val="000000"/>
                <w:sz w:val="30"/>
                <w:szCs w:val="30"/>
              </w:rPr>
              <w:t>机构运行信息决算表</w:t>
            </w:r>
          </w:p>
        </w:tc>
      </w:tr>
      <w:tr>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部门：</w:t>
            </w:r>
            <w:r>
              <w:rPr>
                <w:color w:val="000000"/>
                <w:sz w:val="20"/>
              </w:rPr>
              <w:t>巫溪县塘坊镇农业服务中心</w:t>
            </w:r>
          </w:p>
        </w:tc>
        <w:tc>
          <w:tcPr>
            <w:tcW w:w="413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09表</w:t>
            </w:r>
          </w:p>
        </w:tc>
      </w:tr>
      <w:tr>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413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bCs/>
                <w:color w:val="000000"/>
                <w:sz w:val="22"/>
                <w:szCs w:val="22"/>
              </w:rPr>
              <w:t>一、“三公”经费支出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bCs/>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2.64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2.64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2.64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63</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587</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bCs/>
                <w:color w:val="000000"/>
                <w:sz w:val="22"/>
                <w:szCs w:val="22"/>
              </w:rPr>
              <w:t>二、会议费</w:t>
            </w:r>
          </w:p>
        </w:tc>
        <w:tc>
          <w:tcPr>
            <w:tcW w:w="1017"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auto"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1050"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color w:val="000000"/>
                <w:sz w:val="22"/>
                <w:szCs w:val="22"/>
              </w:rPr>
            </w:pPr>
            <w:r>
              <w:rPr>
                <w:rFonts w:cs="宋体"/>
                <w:b/>
                <w:bCs/>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color w:val="000000"/>
                <w:kern w:val="2"/>
                <w:sz w:val="22"/>
                <w:szCs w:val="22"/>
              </w:rPr>
            </w:pPr>
            <w:r>
              <w:rPr>
                <w:rFonts w:cs="宋体"/>
                <w:b/>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5.00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bl>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1"/>
        <w:autoSpaceDE w:val="0"/>
        <w:ind w:firstLine="0" w:firstLineChars="0"/>
        <w:rPr>
          <w:rFonts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07B4B"/>
    <w:multiLevelType w:val="singleLevel"/>
    <w:tmpl w:val="8BB07B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ZlNjhjZWQ5NWM4YmMxZGE3YjU3YWUyYjBjMWIxMmMifQ=="/>
  </w:docVars>
  <w:rsids>
    <w:rsidRoot w:val="00B03CCD"/>
    <w:rsid w:val="000D7BCC"/>
    <w:rsid w:val="00550ABE"/>
    <w:rsid w:val="00785E6A"/>
    <w:rsid w:val="007B419D"/>
    <w:rsid w:val="009B67B8"/>
    <w:rsid w:val="00B03CCD"/>
    <w:rsid w:val="00B82365"/>
    <w:rsid w:val="00EC245F"/>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7FFC39C"/>
    <w:rsid w:val="38BE4696"/>
    <w:rsid w:val="39B82A39"/>
    <w:rsid w:val="39F33306"/>
    <w:rsid w:val="3B1705E5"/>
    <w:rsid w:val="3B18334B"/>
    <w:rsid w:val="3B36794F"/>
    <w:rsid w:val="3B544954"/>
    <w:rsid w:val="3B793FF0"/>
    <w:rsid w:val="3B97076E"/>
    <w:rsid w:val="3BEB2FCF"/>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1836EDC"/>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BF52995"/>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szCs w:val="20"/>
    </w:rPr>
  </w:style>
  <w:style w:type="paragraph" w:styleId="3">
    <w:name w:val="toc 5"/>
    <w:basedOn w:val="1"/>
    <w:next w:val="1"/>
    <w:qFormat/>
    <w:uiPriority w:val="0"/>
    <w:pPr>
      <w:ind w:left="1680" w:leftChars="800"/>
    </w:pPr>
    <w:rPr>
      <w:rFonts w:eastAsia="方正仿宋_GBK"/>
      <w:sz w:val="3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basedOn w:val="1"/>
    <w:qFormat/>
    <w:uiPriority w:val="99"/>
    <w:pPr>
      <w:ind w:firstLine="420" w:firstLineChars="200"/>
    </w:pPr>
  </w:style>
  <w:style w:type="character" w:customStyle="1" w:styleId="1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6">
    <w:name w:val="列出段落21"/>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2213</Words>
  <Characters>12618</Characters>
  <Lines>105</Lines>
  <Paragraphs>29</Paragraphs>
  <TotalTime>7</TotalTime>
  <ScaleCrop>false</ScaleCrop>
  <LinksUpToDate>false</LinksUpToDate>
  <CharactersWithSpaces>14802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2025-09-17T19:13:00Z</dcterms:created>
  <dc:creator>Administrator</dc:creator>
  <cp:lastModifiedBy> </cp:lastModifiedBy>
  <dcterms:modified xsi:type="dcterms:W3CDTF">2026-05-21T16:16:04Z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1B903923F0A64ECB81E600023DCE64E0_13</vt:lpwstr>
  </property>
</Properties>
</file>