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ind w:firstLine="1320" w:firstLineChars="300"/>
        <w:jc w:val="both"/>
        <w:rPr>
          <w:rFonts w:hint="default"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巫溪县塘坊镇人民政府（本级）</w:t>
      </w:r>
    </w:p>
    <w:p>
      <w:pPr>
        <w:pStyle w:val="7"/>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7"/>
        <w:spacing w:before="0" w:beforeAutospacing="0" w:after="0" w:afterAutospacing="0" w:line="596" w:lineRule="exact"/>
        <w:jc w:val="center"/>
        <w:rPr>
          <w:rFonts w:hint="default" w:ascii="方正小标宋_GBK" w:hAnsi="方正小标宋_GBK" w:eastAsia="方正小标宋_GBK" w:cs="方正小标宋_GBK"/>
          <w:b w:val="0"/>
          <w:bCs w:val="0"/>
          <w:sz w:val="36"/>
          <w:szCs w:val="36"/>
          <w:shd w:val="clear" w:color="auto" w:fill="FFFFFF"/>
        </w:rPr>
      </w:pPr>
    </w:p>
    <w:p>
      <w:pPr>
        <w:pStyle w:val="7"/>
        <w:shd w:val="clear" w:color="auto" w:fill="FFFFFF"/>
        <w:spacing w:before="0" w:beforeAutospacing="0" w:after="0" w:afterAutospacing="0" w:line="596" w:lineRule="exact"/>
        <w:ind w:firstLine="640" w:firstLineChars="200"/>
        <w:rPr>
          <w:rStyle w:val="10"/>
          <w:rFonts w:hint="default" w:ascii="黑体" w:hAnsi="黑体" w:eastAsia="黑体" w:cs="黑体"/>
          <w:b w:val="0"/>
          <w:bCs w:val="0"/>
          <w:sz w:val="32"/>
          <w:szCs w:val="32"/>
          <w:shd w:val="clear" w:color="auto" w:fill="FFFFFF"/>
        </w:rPr>
      </w:pPr>
      <w:r>
        <w:rPr>
          <w:rStyle w:val="10"/>
          <w:rFonts w:ascii="黑体" w:hAnsi="黑体" w:eastAsia="黑体" w:cs="黑体"/>
          <w:b w:val="0"/>
          <w:bCs w:val="0"/>
          <w:sz w:val="32"/>
          <w:szCs w:val="32"/>
          <w:shd w:val="clear" w:color="auto" w:fill="FFFFFF"/>
        </w:rPr>
        <w:t>一、部门基本情况</w:t>
      </w:r>
    </w:p>
    <w:p>
      <w:pPr>
        <w:pStyle w:val="7"/>
        <w:shd w:val="clear" w:color="auto" w:fill="FFFFFF"/>
        <w:ind w:firstLine="420"/>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（一）职能职责</w:t>
      </w:r>
    </w:p>
    <w:p>
      <w:pPr>
        <w:spacing w:line="600" w:lineRule="exact"/>
        <w:ind w:firstLine="640" w:firstLineChars="200"/>
        <w:rPr>
          <w:rFonts w:hint="default" w:ascii="方正仿宋_GBK" w:eastAsia="方正仿宋_GBK"/>
          <w:b w:val="0"/>
          <w:bCs w:val="0"/>
          <w:sz w:val="32"/>
          <w:szCs w:val="32"/>
        </w:rPr>
      </w:pPr>
      <w:r>
        <w:rPr>
          <w:rFonts w:ascii="方正仿宋_GBK" w:eastAsia="方正仿宋_GBK"/>
          <w:b w:val="0"/>
          <w:bCs w:val="0"/>
          <w:sz w:val="32"/>
          <w:szCs w:val="32"/>
        </w:rPr>
        <w:t>1.贯彻执行党和国家的方针政策、法律法规和县委、县政府的决定、指示；负责政策法规宣传服务。</w:t>
      </w:r>
    </w:p>
    <w:p>
      <w:pPr>
        <w:spacing w:line="600" w:lineRule="exact"/>
        <w:ind w:firstLine="640" w:firstLineChars="200"/>
        <w:rPr>
          <w:rFonts w:hint="default" w:ascii="方正仿宋_GBK" w:eastAsia="方正仿宋_GBK"/>
          <w:b w:val="0"/>
          <w:bCs w:val="0"/>
          <w:sz w:val="32"/>
          <w:szCs w:val="32"/>
        </w:rPr>
      </w:pPr>
      <w:r>
        <w:rPr>
          <w:rFonts w:ascii="方正仿宋_GBK" w:eastAsia="方正仿宋_GBK"/>
          <w:b w:val="0"/>
          <w:bCs w:val="0"/>
          <w:sz w:val="32"/>
          <w:szCs w:val="32"/>
        </w:rPr>
        <w:t>2.负责辖镇党的建设和精神文明工作。</w:t>
      </w:r>
    </w:p>
    <w:p>
      <w:pPr>
        <w:spacing w:line="600" w:lineRule="exact"/>
        <w:ind w:firstLine="640" w:firstLineChars="200"/>
        <w:rPr>
          <w:rFonts w:hint="default" w:ascii="方正仿宋_GBK" w:eastAsia="方正仿宋_GBK"/>
          <w:b w:val="0"/>
          <w:bCs w:val="0"/>
          <w:sz w:val="32"/>
          <w:szCs w:val="32"/>
        </w:rPr>
      </w:pPr>
      <w:r>
        <w:rPr>
          <w:rFonts w:ascii="方正仿宋_GBK" w:eastAsia="方正仿宋_GBK"/>
          <w:b w:val="0"/>
          <w:bCs w:val="0"/>
          <w:sz w:val="32"/>
          <w:szCs w:val="32"/>
        </w:rPr>
        <w:t>3.负责制订和实施辖区经济发展计划、财政预算，负责城乡经济发展、经济结构调整、经济组织培育及宏观管理工作；协同有关部门搞好市场监管，维护和市场秩序，促进生产发展。对辖区生产生活状况进行登记、统计和监测。</w:t>
      </w:r>
    </w:p>
    <w:p>
      <w:pPr>
        <w:spacing w:line="600" w:lineRule="exact"/>
        <w:ind w:firstLine="640" w:firstLineChars="200"/>
        <w:rPr>
          <w:rFonts w:hint="default" w:ascii="方正仿宋_GBK" w:eastAsia="方正仿宋_GBK"/>
          <w:b w:val="0"/>
          <w:bCs w:val="0"/>
          <w:sz w:val="32"/>
          <w:szCs w:val="32"/>
        </w:rPr>
      </w:pPr>
      <w:r>
        <w:rPr>
          <w:rFonts w:ascii="方正仿宋_GBK" w:eastAsia="方正仿宋_GBK"/>
          <w:b w:val="0"/>
          <w:bCs w:val="0"/>
          <w:sz w:val="32"/>
          <w:szCs w:val="32"/>
        </w:rPr>
        <w:t>4.负责实施组织城镇化建设工作，搞好基础设施建设；负责城镇环卫绿化、村容整洁、爱国卫生、生态环境建设与保护等工作。</w:t>
      </w:r>
    </w:p>
    <w:p>
      <w:pPr>
        <w:spacing w:line="600" w:lineRule="exact"/>
        <w:ind w:firstLine="640" w:firstLineChars="200"/>
        <w:rPr>
          <w:rFonts w:hint="default" w:ascii="方正仿宋_GBK" w:eastAsia="方正仿宋_GBK"/>
          <w:b w:val="0"/>
          <w:bCs w:val="0"/>
          <w:sz w:val="32"/>
          <w:szCs w:val="32"/>
        </w:rPr>
      </w:pPr>
      <w:r>
        <w:rPr>
          <w:rFonts w:ascii="方正仿宋_GBK" w:eastAsia="方正仿宋_GBK"/>
          <w:b w:val="0"/>
          <w:bCs w:val="0"/>
          <w:sz w:val="32"/>
          <w:szCs w:val="32"/>
        </w:rPr>
        <w:t>5.负责基层组织建设和民主法</w:t>
      </w:r>
      <w:r>
        <w:rPr>
          <w:rFonts w:hint="eastAsia" w:ascii="方正仿宋_GBK" w:eastAsia="方正仿宋_GBK"/>
          <w:b w:val="0"/>
          <w:bCs w:val="0"/>
          <w:sz w:val="32"/>
          <w:szCs w:val="32"/>
          <w:lang w:eastAsia="zh-CN"/>
        </w:rPr>
        <w:t>治</w:t>
      </w:r>
      <w:bookmarkStart w:id="0" w:name="_GoBack"/>
      <w:bookmarkEnd w:id="0"/>
      <w:r>
        <w:rPr>
          <w:rFonts w:ascii="方正仿宋_GBK" w:eastAsia="方正仿宋_GBK"/>
          <w:b w:val="0"/>
          <w:bCs w:val="0"/>
          <w:sz w:val="32"/>
          <w:szCs w:val="32"/>
        </w:rPr>
        <w:t>建设，促进村民、居民自治。负责辖区社区建设工作。</w:t>
      </w:r>
    </w:p>
    <w:p>
      <w:pPr>
        <w:spacing w:line="600" w:lineRule="exact"/>
        <w:ind w:firstLine="640" w:firstLineChars="200"/>
        <w:rPr>
          <w:rFonts w:hint="default" w:ascii="方正仿宋_GBK" w:eastAsia="方正仿宋_GBK"/>
          <w:b w:val="0"/>
          <w:bCs w:val="0"/>
          <w:sz w:val="32"/>
          <w:szCs w:val="32"/>
        </w:rPr>
      </w:pPr>
      <w:r>
        <w:rPr>
          <w:rFonts w:ascii="方正仿宋_GBK" w:eastAsia="方正仿宋_GBK"/>
          <w:b w:val="0"/>
          <w:bCs w:val="0"/>
          <w:sz w:val="32"/>
          <w:szCs w:val="32"/>
        </w:rPr>
        <w:t>6.完成县委县政府部署的各项任务。</w:t>
      </w:r>
    </w:p>
    <w:p>
      <w:pPr>
        <w:pStyle w:val="7"/>
        <w:shd w:val="clear" w:color="auto" w:fill="FFFFFF"/>
        <w:ind w:firstLine="420"/>
        <w:rPr>
          <w:rFonts w:hint="default" w:ascii="楷体" w:hAnsi="楷体" w:eastAsia="楷体" w:cs="楷体"/>
          <w:b w:val="0"/>
          <w:bCs w:val="0"/>
          <w:sz w:val="32"/>
          <w:szCs w:val="32"/>
        </w:rPr>
      </w:pPr>
      <w:r>
        <w:rPr>
          <w:rStyle w:val="10"/>
          <w:rFonts w:ascii="楷体" w:hAnsi="楷体" w:eastAsia="楷体" w:cs="楷体"/>
          <w:b w:val="0"/>
          <w:bCs w:val="0"/>
          <w:sz w:val="32"/>
          <w:szCs w:val="32"/>
          <w:shd w:val="clear" w:color="auto" w:fill="FFFFFF"/>
        </w:rPr>
        <w:t>（二）机构设置</w:t>
      </w:r>
    </w:p>
    <w:p>
      <w:pPr>
        <w:widowControl w:val="0"/>
        <w:spacing w:line="594" w:lineRule="exact"/>
        <w:ind w:firstLine="640" w:firstLineChars="200"/>
        <w:rPr>
          <w:rFonts w:hint="default" w:ascii="方正仿宋_GBK" w:hAnsi="Calibri" w:eastAsia="方正仿宋_GBK"/>
          <w:b w:val="0"/>
          <w:bCs w:val="0"/>
          <w:sz w:val="32"/>
          <w:szCs w:val="32"/>
        </w:rPr>
      </w:pPr>
      <w:r>
        <w:rPr>
          <w:rFonts w:ascii="方正仿宋_GBK" w:hAnsi="Calibri" w:eastAsia="方正仿宋_GBK"/>
          <w:b w:val="0"/>
          <w:bCs w:val="0"/>
          <w:sz w:val="32"/>
          <w:szCs w:val="32"/>
        </w:rPr>
        <w:t>本单位设办公室5个，共25人。</w:t>
      </w:r>
    </w:p>
    <w:p>
      <w:pPr>
        <w:autoSpaceDE w:val="0"/>
        <w:spacing w:line="594" w:lineRule="exact"/>
        <w:ind w:firstLine="640" w:firstLineChars="200"/>
        <w:jc w:val="both"/>
        <w:rPr>
          <w:rFonts w:hint="default" w:ascii="Times New Roman" w:hAnsi="Times New Roman" w:eastAsia="方正仿宋_GBK"/>
          <w:b w:val="0"/>
          <w:bCs w:val="0"/>
          <w:sz w:val="32"/>
          <w:szCs w:val="32"/>
        </w:rPr>
      </w:pPr>
      <w:r>
        <w:rPr>
          <w:rFonts w:ascii="Times New Roman" w:hAnsi="Times New Roman" w:eastAsia="方正仿宋_GBK"/>
          <w:b w:val="0"/>
          <w:bCs w:val="0"/>
          <w:sz w:val="32"/>
          <w:szCs w:val="32"/>
        </w:rPr>
        <w:t>1.基层治理综合指挥室：</w:t>
      </w:r>
      <w:r>
        <w:rPr>
          <w:rStyle w:val="15"/>
          <w:rFonts w:hint="default" w:eastAsia="方正仿宋_GBK"/>
          <w:b w:val="0"/>
          <w:bCs w:val="0"/>
          <w:sz w:val="32"/>
          <w:szCs w:val="32"/>
        </w:rPr>
        <w:t>承担基层治理指挥中心的日常运行和指挥调度。承担基层治理智治平台运行监测、分析研判、协同流转、应急指挥、督查考核等职责。落实值班制度。负责机关日常运转及综合协调。负责政府信息公开、机要、保密、档案、公文、会务、接待、后勤保障等职责。完成上级交办的其他任务。</w:t>
      </w:r>
    </w:p>
    <w:p>
      <w:pPr>
        <w:autoSpaceDE w:val="0"/>
        <w:spacing w:line="594" w:lineRule="exact"/>
        <w:ind w:firstLine="640" w:firstLineChars="200"/>
        <w:jc w:val="both"/>
        <w:rPr>
          <w:rFonts w:hint="default" w:ascii="Times New Roman" w:hAnsi="Times New Roman" w:eastAsia="方正仿宋_GBK"/>
          <w:b w:val="0"/>
          <w:bCs w:val="0"/>
          <w:sz w:val="32"/>
          <w:szCs w:val="32"/>
        </w:rPr>
      </w:pPr>
      <w:r>
        <w:rPr>
          <w:rFonts w:ascii="Times New Roman" w:hAnsi="Times New Roman" w:eastAsia="方正仿宋_GBK"/>
          <w:b w:val="0"/>
          <w:bCs w:val="0"/>
          <w:sz w:val="32"/>
          <w:szCs w:val="32"/>
        </w:rPr>
        <w:t>2.党的建设办公室：</w:t>
      </w:r>
      <w:r>
        <w:rPr>
          <w:rStyle w:val="15"/>
          <w:rFonts w:hint="default" w:eastAsia="方正仿宋_GBK"/>
          <w:b w:val="0"/>
          <w:bCs w:val="0"/>
          <w:sz w:val="32"/>
          <w:szCs w:val="32"/>
        </w:rPr>
        <w:t>主要负责党的政治建设、思想建设、组织建设、作风建设、纪律建设、制度建设和反腐倡廉建设，以及意识形态、统一战线、社会工作、机构编制、干部人事、人大、政协、群众团体等职责。完成上级交办的其他任务。</w:t>
      </w:r>
    </w:p>
    <w:p>
      <w:pPr>
        <w:autoSpaceDE w:val="0"/>
        <w:spacing w:line="594" w:lineRule="exact"/>
        <w:ind w:firstLine="640" w:firstLineChars="200"/>
        <w:jc w:val="both"/>
        <w:rPr>
          <w:rFonts w:hint="default" w:ascii="Times New Roman" w:hAnsi="Times New Roman" w:eastAsia="方正仿宋_GBK"/>
          <w:b w:val="0"/>
          <w:bCs w:val="0"/>
          <w:sz w:val="32"/>
          <w:szCs w:val="32"/>
        </w:rPr>
      </w:pPr>
      <w:r>
        <w:rPr>
          <w:rFonts w:ascii="Times New Roman" w:hAnsi="Times New Roman" w:eastAsia="方正仿宋_GBK"/>
          <w:b w:val="0"/>
          <w:bCs w:val="0"/>
          <w:sz w:val="32"/>
          <w:szCs w:val="32"/>
        </w:rPr>
        <w:t>3.经济发展办公室：</w:t>
      </w:r>
      <w:r>
        <w:rPr>
          <w:rStyle w:val="15"/>
          <w:rFonts w:hint="default" w:eastAsia="方正仿宋_GBK"/>
          <w:b w:val="0"/>
          <w:bCs w:val="0"/>
          <w:sz w:val="32"/>
          <w:szCs w:val="32"/>
        </w:rPr>
        <w:t>主要负责经济发展、村镇建设、生态环境、农业农村和乡村振兴、财政管理、经济社会统计，以及市政公用、市容环卫、征地拆迁等职责。制定和执行经济社会发展计划，强化产业引导，落实区域发展规划、专项规划、国土空间规划。完成上级交办的其他任务。</w:t>
      </w:r>
    </w:p>
    <w:p>
      <w:pPr>
        <w:pStyle w:val="2"/>
        <w:spacing w:line="594" w:lineRule="exact"/>
        <w:ind w:firstLine="640" w:firstLineChars="200"/>
        <w:textAlignment w:val="baseline"/>
        <w:rPr>
          <w:rFonts w:hint="default" w:ascii="Times New Roman" w:hAnsi="Times New Roman" w:eastAsia="方正仿宋_GBK"/>
          <w:b w:val="0"/>
          <w:bCs w:val="0"/>
          <w:szCs w:val="32"/>
        </w:rPr>
      </w:pPr>
      <w:r>
        <w:rPr>
          <w:rFonts w:ascii="Times New Roman" w:hAnsi="Times New Roman" w:eastAsia="方正仿宋_GBK"/>
          <w:b w:val="0"/>
          <w:bCs w:val="0"/>
          <w:szCs w:val="32"/>
        </w:rPr>
        <w:t>4.民生服务办公室：</w:t>
      </w:r>
      <w:r>
        <w:rPr>
          <w:rStyle w:val="15"/>
          <w:rFonts w:hint="default" w:eastAsia="方正仿宋_GBK"/>
          <w:b w:val="0"/>
          <w:bCs w:val="0"/>
          <w:sz w:val="32"/>
          <w:szCs w:val="32"/>
        </w:rPr>
        <w:t>主要负责民政、教育、文化、卫生健康、体育、社会救助、残疾人事业、老龄事业发展、退役军人事务、医疗保障、劳动就业、社会保障等职责。落实社会保险、社会救助、社会福利、优抚安置等社会保障政策，优化基本公共服务资源配置，统筹公共服务设施空间布局，提供优质高效的便民服务。完成上级交办的其他任务。</w:t>
      </w:r>
    </w:p>
    <w:p>
      <w:pPr>
        <w:pStyle w:val="2"/>
        <w:spacing w:line="594" w:lineRule="exact"/>
        <w:ind w:firstLine="640" w:firstLineChars="200"/>
        <w:textAlignment w:val="baseline"/>
        <w:rPr>
          <w:rFonts w:hint="default" w:ascii="Times New Roman" w:hAnsi="Times New Roman" w:eastAsia="方正仿宋_GBK"/>
          <w:b w:val="0"/>
          <w:bCs w:val="0"/>
          <w:szCs w:val="32"/>
        </w:rPr>
      </w:pPr>
      <w:r>
        <w:rPr>
          <w:rFonts w:ascii="Times New Roman" w:hAnsi="Times New Roman" w:eastAsia="方正仿宋_GBK"/>
          <w:b w:val="0"/>
          <w:bCs w:val="0"/>
          <w:szCs w:val="32"/>
        </w:rPr>
        <w:t>5.平安法治办公室：</w:t>
      </w:r>
      <w:r>
        <w:rPr>
          <w:rStyle w:val="15"/>
          <w:rFonts w:hint="default" w:eastAsia="方正仿宋_GBK"/>
          <w:b w:val="0"/>
          <w:bCs w:val="0"/>
          <w:sz w:val="32"/>
          <w:szCs w:val="32"/>
        </w:rPr>
        <w:t>主要负责平安综治、应急管理、信访维稳、防范和处理邪教、安全生产综合监管、法治建设、人民武装等职责。定期组织开展应急演练。健全应急管理和除险清患排查治理体系，完善执法协调、矛盾纠纷化解调处、公共法律服务、普法依法治理、网上网下联动化解网络舆情风险等机制，推动平安法治和社会治理工作落细落实。完成上级交办的其他任务。</w:t>
      </w:r>
    </w:p>
    <w:p>
      <w:pPr>
        <w:pStyle w:val="7"/>
        <w:shd w:val="clear" w:color="auto" w:fill="FFFFFF"/>
        <w:spacing w:before="0" w:beforeAutospacing="0" w:after="0" w:afterAutospacing="0" w:line="596" w:lineRule="exact"/>
        <w:ind w:firstLine="640" w:firstLineChars="200"/>
        <w:rPr>
          <w:rStyle w:val="10"/>
          <w:rFonts w:hint="default" w:ascii="黑体" w:hAnsi="黑体" w:eastAsia="黑体" w:cs="黑体"/>
          <w:b w:val="0"/>
          <w:bCs w:val="0"/>
          <w:sz w:val="32"/>
          <w:szCs w:val="32"/>
          <w:shd w:val="clear" w:color="auto" w:fill="FFFFFF"/>
        </w:rPr>
      </w:pPr>
      <w:r>
        <w:rPr>
          <w:rStyle w:val="10"/>
          <w:rFonts w:ascii="黑体" w:hAnsi="黑体" w:eastAsia="黑体" w:cs="黑体"/>
          <w:b w:val="0"/>
          <w:bCs w:val="0"/>
          <w:sz w:val="32"/>
          <w:szCs w:val="32"/>
          <w:shd w:val="clear" w:color="auto" w:fill="FFFFFF"/>
        </w:rPr>
        <w:t>二、部门决算收支情况说明</w:t>
      </w:r>
    </w:p>
    <w:p>
      <w:pPr>
        <w:pStyle w:val="11"/>
        <w:autoSpaceDE w:val="0"/>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（一）收入支出决算总体情况说明。</w:t>
      </w:r>
    </w:p>
    <w:p>
      <w:pPr>
        <w:pStyle w:val="12"/>
        <w:autoSpaceDE w:val="0"/>
        <w:spacing w:before="0" w:beforeAutospacing="0" w:line="594" w:lineRule="exact"/>
        <w:ind w:firstLine="640" w:firstLineChars="200"/>
        <w:jc w:val="both"/>
        <w:rPr>
          <w:rFonts w:hint="eastAsia" w:ascii="方正仿宋_GBK" w:hAnsi="方正仿宋_GBK" w:eastAsia="方正仿宋_GBK" w:cs="方正仿宋_GBK"/>
          <w:b w:val="0"/>
          <w:bCs w:val="0"/>
          <w:sz w:val="32"/>
          <w:szCs w:val="32"/>
          <w:shd w:val="clear" w:color="auto" w:fill="FFFFFF"/>
        </w:rPr>
      </w:pPr>
      <w:r>
        <w:rPr>
          <w:rStyle w:val="10"/>
          <w:rFonts w:ascii="方正仿宋_GBK" w:hAnsi="方正仿宋_GBK" w:eastAsia="方正仿宋_GBK" w:cs="方正仿宋_GBK"/>
          <w:b w:val="0"/>
          <w:bCs w:val="0"/>
          <w:sz w:val="32"/>
          <w:szCs w:val="32"/>
          <w:shd w:val="clear" w:color="auto" w:fill="FFFFFF"/>
        </w:rPr>
        <w:t>1.总体情况。</w:t>
      </w:r>
      <w:r>
        <w:rPr>
          <w:rFonts w:hint="eastAsia" w:ascii="方正仿宋_GBK" w:hAnsi="方正仿宋_GBK" w:eastAsia="方正仿宋_GBK" w:cs="方正仿宋_GBK"/>
          <w:b w:val="0"/>
          <w:bCs w:val="0"/>
          <w:sz w:val="32"/>
          <w:szCs w:val="32"/>
          <w:shd w:val="clear" w:color="auto" w:fill="FFFFFF"/>
        </w:rPr>
        <w:t>2024年</w:t>
      </w:r>
      <w:r>
        <w:rPr>
          <w:rFonts w:ascii="方正仿宋_GBK" w:hAnsi="方正仿宋_GBK" w:eastAsia="方正仿宋_GBK" w:cs="方正仿宋_GBK"/>
          <w:b w:val="0"/>
          <w:bCs w:val="0"/>
          <w:sz w:val="32"/>
          <w:szCs w:val="32"/>
          <w:shd w:val="clear" w:color="auto" w:fill="FFFFFF"/>
        </w:rPr>
        <w:t>度收入总计2219.29万元，支出总计</w:t>
      </w:r>
      <w:r>
        <w:rPr>
          <w:rFonts w:ascii="方正仿宋_GBK" w:hAnsi="方正仿宋_GBK" w:eastAsia="方正仿宋_GBK" w:cs="方正仿宋_GBK"/>
          <w:b w:val="0"/>
          <w:bCs w:val="0"/>
          <w:sz w:val="32"/>
          <w:szCs w:val="32"/>
        </w:rPr>
        <w:t>2219.29</w:t>
      </w:r>
      <w:r>
        <w:rPr>
          <w:rFonts w:ascii="方正仿宋_GBK" w:hAnsi="方正仿宋_GBK" w:eastAsia="方正仿宋_GBK" w:cs="方正仿宋_GBK"/>
          <w:b w:val="0"/>
          <w:bCs w:val="0"/>
          <w:sz w:val="32"/>
          <w:szCs w:val="32"/>
          <w:shd w:val="clear" w:color="auto" w:fill="FFFFFF"/>
        </w:rPr>
        <w:t>万元。收</w:t>
      </w:r>
      <w:r>
        <w:rPr>
          <w:rFonts w:hint="eastAsia" w:ascii="方正仿宋_GBK" w:hAnsi="方正仿宋_GBK" w:eastAsia="方正仿宋_GBK" w:cs="方正仿宋_GBK"/>
          <w:b w:val="0"/>
          <w:bCs w:val="0"/>
          <w:sz w:val="32"/>
          <w:szCs w:val="32"/>
          <w:shd w:val="clear" w:color="auto" w:fill="FFFFFF"/>
        </w:rPr>
        <w:t>入支出</w:t>
      </w:r>
      <w:r>
        <w:rPr>
          <w:rFonts w:ascii="方正仿宋_GBK" w:hAnsi="方正仿宋_GBK" w:eastAsia="方正仿宋_GBK" w:cs="方正仿宋_GBK"/>
          <w:b w:val="0"/>
          <w:bCs w:val="0"/>
          <w:sz w:val="32"/>
          <w:szCs w:val="32"/>
          <w:shd w:val="clear" w:color="auto" w:fill="FFFFFF"/>
        </w:rPr>
        <w:t>与2023年度相比减少268.57万元，下降10.8%，主要原因是</w:t>
      </w:r>
      <w:r>
        <w:rPr>
          <w:rFonts w:hint="eastAsia" w:ascii="方正仿宋_GBK" w:hAnsi="方正仿宋_GBK" w:eastAsia="方正仿宋_GBK" w:cs="方正仿宋_GBK"/>
          <w:b w:val="0"/>
          <w:bCs w:val="0"/>
          <w:sz w:val="32"/>
          <w:szCs w:val="32"/>
          <w:shd w:val="clear" w:color="auto" w:fill="FFFFFF"/>
        </w:rPr>
        <w:t>本单位下属农业服务中心2024年为单独核算机构，独立编报决算。</w:t>
      </w:r>
    </w:p>
    <w:p>
      <w:pPr>
        <w:pStyle w:val="12"/>
        <w:autoSpaceDE w:val="0"/>
        <w:spacing w:before="0" w:beforeAutospacing="0" w:line="594" w:lineRule="exact"/>
        <w:ind w:firstLine="640" w:firstLineChars="200"/>
        <w:jc w:val="both"/>
        <w:rPr>
          <w:rFonts w:ascii="方正仿宋_GBK" w:hAnsi="方正仿宋_GBK" w:eastAsia="方正仿宋_GBK" w:cs="方正仿宋_GBK"/>
          <w:b w:val="0"/>
          <w:bCs w:val="0"/>
          <w:sz w:val="32"/>
          <w:szCs w:val="32"/>
          <w:shd w:val="clear" w:color="auto" w:fill="FFFFFF"/>
        </w:rPr>
      </w:pPr>
      <w:r>
        <w:rPr>
          <w:rStyle w:val="10"/>
          <w:rFonts w:ascii="方正仿宋_GBK" w:hAnsi="方正仿宋_GBK" w:eastAsia="方正仿宋_GBK" w:cs="方正仿宋_GBK"/>
          <w:b w:val="0"/>
          <w:bCs w:val="0"/>
          <w:sz w:val="32"/>
          <w:szCs w:val="32"/>
          <w:shd w:val="clear" w:color="auto" w:fill="FFFFFF"/>
        </w:rPr>
        <w:t>2.收入情况。</w:t>
      </w:r>
      <w:r>
        <w:rPr>
          <w:rFonts w:hint="eastAsia" w:ascii="方正仿宋_GBK" w:hAnsi="方正仿宋_GBK" w:eastAsia="方正仿宋_GBK" w:cs="方正仿宋_GBK"/>
          <w:b w:val="0"/>
          <w:bCs w:val="0"/>
          <w:sz w:val="32"/>
          <w:szCs w:val="32"/>
          <w:shd w:val="clear" w:color="auto" w:fill="FFFFFF"/>
        </w:rPr>
        <w:t>2024年</w:t>
      </w:r>
      <w:r>
        <w:rPr>
          <w:rFonts w:ascii="方正仿宋_GBK" w:hAnsi="方正仿宋_GBK" w:eastAsia="方正仿宋_GBK" w:cs="方正仿宋_GBK"/>
          <w:b w:val="0"/>
          <w:bCs w:val="0"/>
          <w:sz w:val="32"/>
          <w:szCs w:val="32"/>
          <w:shd w:val="clear" w:color="auto" w:fill="FFFFFF"/>
        </w:rPr>
        <w:t>度收入合计2219.29万元，与2023年度相比，减少268.57万元，下降10.8%</w:t>
      </w:r>
      <w:r>
        <w:rPr>
          <w:rFonts w:hint="eastAsia"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本单位下属农业服务中心2024年为单独核算机构，独立编报决算。</w:t>
      </w:r>
      <w:r>
        <w:rPr>
          <w:rFonts w:ascii="方正仿宋_GBK" w:hAnsi="方正仿宋_GBK" w:eastAsia="方正仿宋_GBK" w:cs="方正仿宋_GBK"/>
          <w:b w:val="0"/>
          <w:bCs w:val="0"/>
          <w:sz w:val="32"/>
          <w:szCs w:val="32"/>
          <w:shd w:val="clear" w:color="auto" w:fill="FFFFFF"/>
        </w:rPr>
        <w:t>其中：财政拨款收入</w:t>
      </w:r>
      <w:r>
        <w:rPr>
          <w:rFonts w:ascii="方正仿宋_GBK" w:hAnsi="方正仿宋_GBK" w:eastAsia="方正仿宋_GBK" w:cs="方正仿宋_GBK"/>
          <w:b w:val="0"/>
          <w:bCs w:val="0"/>
          <w:sz w:val="32"/>
          <w:szCs w:val="32"/>
        </w:rPr>
        <w:t>2219.29</w:t>
      </w:r>
      <w:r>
        <w:rPr>
          <w:rFonts w:ascii="方正仿宋_GBK" w:hAnsi="方正仿宋_GBK" w:eastAsia="方正仿宋_GBK" w:cs="方正仿宋_GBK"/>
          <w:b w:val="0"/>
          <w:bCs w:val="0"/>
          <w:sz w:val="32"/>
          <w:szCs w:val="32"/>
          <w:shd w:val="clear" w:color="auto" w:fill="FFFFFF"/>
        </w:rPr>
        <w:t>万元，占</w:t>
      </w:r>
      <w:r>
        <w:rPr>
          <w:rFonts w:ascii="方正仿宋_GBK" w:hAnsi="方正仿宋_GBK" w:eastAsia="方正仿宋_GBK" w:cs="方正仿宋_GBK"/>
          <w:b w:val="0"/>
          <w:bCs w:val="0"/>
          <w:sz w:val="32"/>
          <w:szCs w:val="32"/>
        </w:rPr>
        <w:t>100.00</w:t>
      </w:r>
      <w:r>
        <w:rPr>
          <w:rFonts w:ascii="方正仿宋_GBK" w:hAnsi="方正仿宋_GBK" w:eastAsia="方正仿宋_GBK" w:cs="方正仿宋_GBK"/>
          <w:b w:val="0"/>
          <w:bCs w:val="0"/>
          <w:sz w:val="32"/>
          <w:szCs w:val="32"/>
          <w:shd w:val="clear" w:color="auto" w:fill="FFFFFF"/>
        </w:rPr>
        <w:t>%。此外，使用非财政拨款结余和专用结余</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万元，年初结转和结余</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w:t>
      </w:r>
    </w:p>
    <w:p>
      <w:pPr>
        <w:pStyle w:val="12"/>
        <w:autoSpaceDE w:val="0"/>
        <w:spacing w:before="0" w:beforeAutospacing="0" w:line="594" w:lineRule="exact"/>
        <w:ind w:firstLine="640" w:firstLineChars="200"/>
        <w:jc w:val="both"/>
        <w:rPr>
          <w:rFonts w:ascii="方正仿宋_GBK" w:hAnsi="方正仿宋_GBK" w:eastAsia="方正仿宋_GBK" w:cs="方正仿宋_GBK"/>
          <w:b w:val="0"/>
          <w:bCs w:val="0"/>
          <w:sz w:val="32"/>
          <w:szCs w:val="32"/>
          <w:shd w:val="clear" w:color="auto" w:fill="FFFFFF"/>
        </w:rPr>
      </w:pPr>
      <w:r>
        <w:rPr>
          <w:rStyle w:val="10"/>
          <w:rFonts w:ascii="方正仿宋_GBK" w:hAnsi="方正仿宋_GBK" w:eastAsia="方正仿宋_GBK" w:cs="方正仿宋_GBK"/>
          <w:b w:val="0"/>
          <w:bCs w:val="0"/>
          <w:sz w:val="32"/>
          <w:szCs w:val="32"/>
          <w:shd w:val="clear" w:color="auto" w:fill="FFFFFF"/>
        </w:rPr>
        <w:t>3.支出情况。</w:t>
      </w:r>
      <w:r>
        <w:rPr>
          <w:rFonts w:hint="eastAsia" w:ascii="方正仿宋_GBK" w:hAnsi="方正仿宋_GBK" w:eastAsia="方正仿宋_GBK" w:cs="方正仿宋_GBK"/>
          <w:b w:val="0"/>
          <w:bCs w:val="0"/>
          <w:sz w:val="32"/>
          <w:szCs w:val="32"/>
          <w:shd w:val="clear" w:color="auto" w:fill="FFFFFF"/>
        </w:rPr>
        <w:t>2024年</w:t>
      </w:r>
      <w:r>
        <w:rPr>
          <w:rFonts w:ascii="方正仿宋_GBK" w:hAnsi="方正仿宋_GBK" w:eastAsia="方正仿宋_GBK" w:cs="方正仿宋_GBK"/>
          <w:b w:val="0"/>
          <w:bCs w:val="0"/>
          <w:sz w:val="32"/>
          <w:szCs w:val="32"/>
          <w:shd w:val="clear" w:color="auto" w:fill="FFFFFF"/>
        </w:rPr>
        <w:t>度支出合计</w:t>
      </w:r>
      <w:r>
        <w:rPr>
          <w:rFonts w:ascii="方正仿宋_GBK" w:hAnsi="方正仿宋_GBK" w:eastAsia="方正仿宋_GBK" w:cs="方正仿宋_GBK"/>
          <w:b w:val="0"/>
          <w:bCs w:val="0"/>
          <w:sz w:val="32"/>
          <w:szCs w:val="32"/>
        </w:rPr>
        <w:t>2219.29</w:t>
      </w:r>
      <w:r>
        <w:rPr>
          <w:rFonts w:ascii="方正仿宋_GBK" w:hAnsi="方正仿宋_GBK" w:eastAsia="方正仿宋_GBK" w:cs="方正仿宋_GBK"/>
          <w:b w:val="0"/>
          <w:bCs w:val="0"/>
          <w:sz w:val="32"/>
          <w:szCs w:val="32"/>
          <w:shd w:val="clear" w:color="auto" w:fill="FFFFFF"/>
        </w:rPr>
        <w:t>万元，与2023年度相比，减少268.57万元，下降10.8%，主要原因是</w:t>
      </w:r>
      <w:r>
        <w:rPr>
          <w:rFonts w:hint="eastAsia" w:ascii="方正仿宋_GBK" w:hAnsi="方正仿宋_GBK" w:eastAsia="方正仿宋_GBK" w:cs="方正仿宋_GBK"/>
          <w:b w:val="0"/>
          <w:bCs w:val="0"/>
          <w:sz w:val="32"/>
          <w:szCs w:val="32"/>
          <w:shd w:val="clear" w:color="auto" w:fill="FFFFFF"/>
        </w:rPr>
        <w:t>本单位下属农业服务中心2024年为单独核算机构，独立编报决算。</w:t>
      </w:r>
      <w:r>
        <w:rPr>
          <w:rFonts w:ascii="方正仿宋_GBK" w:hAnsi="方正仿宋_GBK" w:eastAsia="方正仿宋_GBK" w:cs="方正仿宋_GBK"/>
          <w:b w:val="0"/>
          <w:bCs w:val="0"/>
          <w:sz w:val="32"/>
          <w:szCs w:val="32"/>
          <w:shd w:val="clear" w:color="auto" w:fill="FFFFFF"/>
        </w:rPr>
        <w:t>较年初预算数增加1259.23万元，增长131.2%。主要原因是</w:t>
      </w:r>
      <w:r>
        <w:rPr>
          <w:rFonts w:hint="eastAsia" w:ascii="方正仿宋_GBK" w:hAnsi="方正仿宋_GBK" w:eastAsia="方正仿宋_GBK" w:cs="方正仿宋_GBK"/>
          <w:b w:val="0"/>
          <w:bCs w:val="0"/>
          <w:sz w:val="32"/>
          <w:szCs w:val="32"/>
          <w:shd w:val="clear" w:color="auto" w:fill="FFFFFF"/>
        </w:rPr>
        <w:t>年中追加项目预算，其中2023年全县耕地保护工作补助资金追加43.8万元，巫溪县2024年塘坊镇双柏村1社白杨河救灾项目巫溪规资发【2024】107号文件追加44.23万元，巫溪县塘坊镇2024年脱贫户、监测户产业帮扶项目溪乡振发[2024]7号文件追加59.3万元，巫溪县塘坊镇2024年两类群体提低增收产业帮扶补助巫溪农发[2024]122号文件追加92.39万元，巫溪县塘坊镇2024年粮油基地建设项目巫溪农发[2024]70号文件追加40万元，巫溪县2023年塘坊双塘村蔬菜基地建设项目巫溪农发[2023]141号文件追加44.6万元，巫溪县2023年塘坊镇红土村自动化蛋鸡养殖项目巫溪农发[2023]141号文件追加72.03万元，巫溪县塘坊镇2024年度非全日制公益性岗位补助溪人社发[2024]22号文件追加86.4万元。</w:t>
      </w:r>
      <w:r>
        <w:rPr>
          <w:rFonts w:ascii="方正仿宋_GBK" w:hAnsi="方正仿宋_GBK" w:eastAsia="方正仿宋_GBK" w:cs="方正仿宋_GBK"/>
          <w:b w:val="0"/>
          <w:bCs w:val="0"/>
          <w:sz w:val="32"/>
          <w:szCs w:val="32"/>
          <w:shd w:val="clear" w:color="auto" w:fill="FFFFFF"/>
        </w:rPr>
        <w:t>此外，年初财政拨款结转和结余</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b w:val="0"/>
          <w:bCs w:val="0"/>
          <w:sz w:val="32"/>
          <w:szCs w:val="32"/>
          <w:shd w:val="clear" w:color="auto" w:fill="FFFFFF"/>
        </w:rPr>
      </w:pPr>
      <w:r>
        <w:rPr>
          <w:rStyle w:val="10"/>
          <w:rFonts w:ascii="方正仿宋_GBK" w:hAnsi="方正仿宋_GBK" w:eastAsia="方正仿宋_GBK" w:cs="方正仿宋_GBK"/>
          <w:b w:val="0"/>
          <w:bCs w:val="0"/>
          <w:sz w:val="32"/>
          <w:szCs w:val="32"/>
          <w:shd w:val="clear" w:color="auto" w:fill="FFFFFF"/>
        </w:rPr>
        <w:t>2.支出情况。</w:t>
      </w:r>
      <w:r>
        <w:rPr>
          <w:rFonts w:ascii="方正仿宋_GBK" w:hAnsi="方正仿宋_GBK" w:eastAsia="方正仿宋_GBK" w:cs="方正仿宋_GBK"/>
          <w:b w:val="0"/>
          <w:bCs w:val="0"/>
          <w:sz w:val="32"/>
          <w:szCs w:val="32"/>
          <w:shd w:val="clear" w:color="auto" w:fill="FFFFFF"/>
        </w:rPr>
        <w:t>2024年度一般公共预算财政拨款支出</w:t>
      </w:r>
      <w:r>
        <w:rPr>
          <w:rFonts w:ascii="方正仿宋_GBK" w:hAnsi="方正仿宋_GBK" w:eastAsia="方正仿宋_GBK" w:cs="方正仿宋_GBK"/>
          <w:b w:val="0"/>
          <w:bCs w:val="0"/>
          <w:sz w:val="32"/>
          <w:szCs w:val="32"/>
        </w:rPr>
        <w:t>2219.29</w:t>
      </w:r>
      <w:r>
        <w:rPr>
          <w:rFonts w:ascii="方正仿宋_GBK" w:hAnsi="方正仿宋_GBK" w:eastAsia="方正仿宋_GBK" w:cs="方正仿宋_GBK"/>
          <w:b w:val="0"/>
          <w:bCs w:val="0"/>
          <w:sz w:val="32"/>
          <w:szCs w:val="32"/>
          <w:shd w:val="clear" w:color="auto" w:fill="FFFFFF"/>
        </w:rPr>
        <w:t>万元，与2023年度相比，减少268.57万元，下降10.8%。主要原因是本单位下属农业服务中心2024年为单独核算机构，独立编报决算。较年初预算数增加1259.23万元，增长131.2%。主要原因是年中追加项目预算，其中2023年全县耕地保护工作补助资金追加43.8万元，巫溪县2024年塘坊镇双柏村1社白杨河救灾项目巫溪规资发【2024】107号文件追加44.23万元，巫溪县塘坊镇2024年脱贫户、监测户产业帮扶项目溪乡振发[2024]7号文件追加59.3万元，巫溪县塘坊镇2024年两类群体提低增收产业帮扶补助巫溪农发[2024]122号文件追加92.39万元，巫溪县塘坊镇2024年粮油基地建设项目巫溪农发[2024]70号文件追加40万元，巫溪县2023年塘坊双塘村蔬菜基地建设项目巫溪农发[2023]141号文件追加44.6万元，巫溪县2023年塘坊镇红土村自动化蛋鸡养殖项目巫溪农发[2023]141号文件追加72.03万元，巫溪县塘坊镇2024年度非全日制公益性岗位补助溪人社发[2024]22号文件追加86.4万元。</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Style w:val="10"/>
          <w:rFonts w:ascii="方正仿宋_GBK" w:hAnsi="方正仿宋_GBK" w:eastAsia="方正仿宋_GBK" w:cs="方正仿宋_GBK"/>
          <w:b w:val="0"/>
          <w:bCs w:val="0"/>
          <w:sz w:val="32"/>
          <w:szCs w:val="32"/>
          <w:shd w:val="clear" w:color="auto" w:fill="FFFFFF"/>
        </w:rPr>
        <w:t>3.结转结余情况。</w:t>
      </w:r>
      <w:r>
        <w:rPr>
          <w:rFonts w:ascii="方正仿宋_GBK" w:hAnsi="方正仿宋_GBK" w:eastAsia="方正仿宋_GBK" w:cs="方正仿宋_GBK"/>
          <w:b w:val="0"/>
          <w:bCs w:val="0"/>
          <w:sz w:val="32"/>
          <w:szCs w:val="32"/>
          <w:shd w:val="clear" w:color="auto" w:fill="FFFFFF"/>
        </w:rPr>
        <w:t>2024年度年末一般公共预算财政拨款结转和结余</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万元，与2023年度相比，无增减，主要原因是新运行预算一体化系统，每年财政资金实行零结转。</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color w:val="FF0000"/>
          <w:sz w:val="32"/>
          <w:szCs w:val="32"/>
          <w:highlight w:val="cyan"/>
          <w:shd w:val="clear" w:color="auto" w:fill="FFFFFF"/>
        </w:rPr>
      </w:pPr>
      <w:r>
        <w:rPr>
          <w:rStyle w:val="10"/>
          <w:rFonts w:ascii="方正仿宋_GBK" w:hAnsi="方正仿宋_GBK" w:eastAsia="方正仿宋_GBK" w:cs="方正仿宋_GBK"/>
          <w:b w:val="0"/>
          <w:bCs w:val="0"/>
          <w:sz w:val="32"/>
          <w:szCs w:val="32"/>
          <w:shd w:val="clear" w:color="auto" w:fill="FFFFFF"/>
        </w:rPr>
        <w:t>4.比较情况。</w:t>
      </w:r>
      <w:r>
        <w:rPr>
          <w:rFonts w:ascii="方正仿宋_GBK" w:hAnsi="方正仿宋_GBK" w:eastAsia="方正仿宋_GBK" w:cs="方正仿宋_GBK"/>
          <w:b w:val="0"/>
          <w:bCs w:val="0"/>
          <w:sz w:val="32"/>
          <w:szCs w:val="32"/>
          <w:shd w:val="clear" w:color="auto" w:fill="FFFFFF"/>
        </w:rPr>
        <w:t>本部门2024年度一般公共预算财政拨款支出主要用于以下几个方面：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（1）一般公共服务支出</w:t>
      </w:r>
      <w:r>
        <w:rPr>
          <w:rFonts w:ascii="方正仿宋_GBK" w:hAnsi="方正仿宋_GBK" w:eastAsia="方正仿宋_GBK" w:cs="方正仿宋_GBK"/>
          <w:b w:val="0"/>
          <w:bCs w:val="0"/>
          <w:sz w:val="32"/>
          <w:szCs w:val="32"/>
        </w:rPr>
        <w:t>492.18</w:t>
      </w:r>
      <w:r>
        <w:rPr>
          <w:rFonts w:ascii="方正仿宋_GBK" w:hAnsi="方正仿宋_GBK" w:eastAsia="方正仿宋_GBK" w:cs="方正仿宋_GBK"/>
          <w:b w:val="0"/>
          <w:bCs w:val="0"/>
          <w:sz w:val="32"/>
          <w:szCs w:val="32"/>
          <w:shd w:val="clear" w:color="auto" w:fill="FFFFFF"/>
        </w:rPr>
        <w:t>万元，占</w:t>
      </w:r>
      <w:r>
        <w:rPr>
          <w:rFonts w:ascii="方正仿宋_GBK" w:hAnsi="方正仿宋_GBK" w:eastAsia="方正仿宋_GBK" w:cs="方正仿宋_GBK"/>
          <w:b w:val="0"/>
          <w:bCs w:val="0"/>
          <w:sz w:val="32"/>
          <w:szCs w:val="32"/>
        </w:rPr>
        <w:t>22.18</w:t>
      </w:r>
      <w:r>
        <w:rPr>
          <w:rFonts w:ascii="方正仿宋_GBK" w:hAnsi="方正仿宋_GBK" w:eastAsia="方正仿宋_GBK" w:cs="方正仿宋_GBK"/>
          <w:b w:val="0"/>
          <w:bCs w:val="0"/>
          <w:sz w:val="32"/>
          <w:szCs w:val="32"/>
          <w:shd w:val="clear" w:color="auto" w:fill="FFFFFF"/>
        </w:rPr>
        <w:t>%，较年初预算数增加34.70万元，增长7.6%，主要原因是新进行政人员1名，人员经费有所增加。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（2）社会保障与就业支出</w:t>
      </w:r>
      <w:r>
        <w:rPr>
          <w:rFonts w:ascii="方正仿宋_GBK" w:hAnsi="方正仿宋_GBK" w:eastAsia="方正仿宋_GBK" w:cs="方正仿宋_GBK"/>
          <w:b w:val="0"/>
          <w:bCs w:val="0"/>
          <w:sz w:val="32"/>
          <w:szCs w:val="32"/>
        </w:rPr>
        <w:t>189.86</w:t>
      </w:r>
      <w:r>
        <w:rPr>
          <w:rFonts w:ascii="方正仿宋_GBK" w:hAnsi="方正仿宋_GBK" w:eastAsia="方正仿宋_GBK" w:cs="方正仿宋_GBK"/>
          <w:b w:val="0"/>
          <w:bCs w:val="0"/>
          <w:sz w:val="32"/>
          <w:szCs w:val="32"/>
          <w:shd w:val="clear" w:color="auto" w:fill="FFFFFF"/>
        </w:rPr>
        <w:t>万元，占</w:t>
      </w:r>
      <w:r>
        <w:rPr>
          <w:rFonts w:ascii="方正仿宋_GBK" w:hAnsi="方正仿宋_GBK" w:eastAsia="方正仿宋_GBK" w:cs="方正仿宋_GBK"/>
          <w:b w:val="0"/>
          <w:bCs w:val="0"/>
          <w:sz w:val="32"/>
          <w:szCs w:val="32"/>
        </w:rPr>
        <w:t>8.56</w:t>
      </w:r>
      <w:r>
        <w:rPr>
          <w:rFonts w:ascii="方正仿宋_GBK" w:hAnsi="方正仿宋_GBK" w:eastAsia="方正仿宋_GBK" w:cs="方正仿宋_GBK"/>
          <w:b w:val="0"/>
          <w:bCs w:val="0"/>
          <w:sz w:val="32"/>
          <w:szCs w:val="32"/>
          <w:shd w:val="clear" w:color="auto" w:fill="FFFFFF"/>
        </w:rPr>
        <w:t>%，较年初预算数增加31.15万元，增长19.6%，主要原因是退休人员增加3人，健康休养费有所增加，退休干部去世2人，一次性抚恤金有所增加。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（3）卫生健康支出</w:t>
      </w:r>
      <w:r>
        <w:rPr>
          <w:rFonts w:ascii="方正仿宋_GBK" w:hAnsi="方正仿宋_GBK" w:eastAsia="方正仿宋_GBK" w:cs="方正仿宋_GBK"/>
          <w:b w:val="0"/>
          <w:bCs w:val="0"/>
          <w:sz w:val="32"/>
          <w:szCs w:val="32"/>
        </w:rPr>
        <w:t>34.51</w:t>
      </w:r>
      <w:r>
        <w:rPr>
          <w:rFonts w:ascii="方正仿宋_GBK" w:hAnsi="方正仿宋_GBK" w:eastAsia="方正仿宋_GBK" w:cs="方正仿宋_GBK"/>
          <w:b w:val="0"/>
          <w:bCs w:val="0"/>
          <w:sz w:val="32"/>
          <w:szCs w:val="32"/>
          <w:shd w:val="clear" w:color="auto" w:fill="FFFFFF"/>
        </w:rPr>
        <w:t>万元，占</w:t>
      </w:r>
      <w:r>
        <w:rPr>
          <w:rFonts w:ascii="方正仿宋_GBK" w:hAnsi="方正仿宋_GBK" w:eastAsia="方正仿宋_GBK" w:cs="方正仿宋_GBK"/>
          <w:b w:val="0"/>
          <w:bCs w:val="0"/>
          <w:sz w:val="32"/>
          <w:szCs w:val="32"/>
        </w:rPr>
        <w:t>1.56</w:t>
      </w:r>
      <w:r>
        <w:rPr>
          <w:rFonts w:ascii="方正仿宋_GBK" w:hAnsi="方正仿宋_GBK" w:eastAsia="方正仿宋_GBK" w:cs="方正仿宋_GBK"/>
          <w:b w:val="0"/>
          <w:bCs w:val="0"/>
          <w:sz w:val="32"/>
          <w:szCs w:val="32"/>
          <w:shd w:val="clear" w:color="auto" w:fill="FFFFFF"/>
        </w:rPr>
        <w:t>%，较年初预算数无增减，主要原因是严格按照年初预算执行职工保险标准。</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（4）节能环保支出</w:t>
      </w:r>
      <w:r>
        <w:rPr>
          <w:rFonts w:ascii="方正仿宋_GBK" w:hAnsi="方正仿宋_GBK" w:eastAsia="方正仿宋_GBK" w:cs="方正仿宋_GBK"/>
          <w:b w:val="0"/>
          <w:bCs w:val="0"/>
          <w:sz w:val="32"/>
          <w:szCs w:val="32"/>
        </w:rPr>
        <w:t>49.84</w:t>
      </w:r>
      <w:r>
        <w:rPr>
          <w:rFonts w:ascii="方正仿宋_GBK" w:hAnsi="方正仿宋_GBK" w:eastAsia="方正仿宋_GBK" w:cs="方正仿宋_GBK"/>
          <w:b w:val="0"/>
          <w:bCs w:val="0"/>
          <w:sz w:val="32"/>
          <w:szCs w:val="32"/>
          <w:shd w:val="clear" w:color="auto" w:fill="FFFFFF"/>
        </w:rPr>
        <w:t>万元，占</w:t>
      </w:r>
      <w:r>
        <w:rPr>
          <w:rFonts w:ascii="方正仿宋_GBK" w:hAnsi="方正仿宋_GBK" w:eastAsia="方正仿宋_GBK" w:cs="方正仿宋_GBK"/>
          <w:b w:val="0"/>
          <w:bCs w:val="0"/>
          <w:sz w:val="32"/>
          <w:szCs w:val="32"/>
        </w:rPr>
        <w:t>2.25</w:t>
      </w:r>
      <w:r>
        <w:rPr>
          <w:rFonts w:ascii="方正仿宋_GBK" w:hAnsi="方正仿宋_GBK" w:eastAsia="方正仿宋_GBK" w:cs="方正仿宋_GBK"/>
          <w:b w:val="0"/>
          <w:bCs w:val="0"/>
          <w:sz w:val="32"/>
          <w:szCs w:val="32"/>
          <w:shd w:val="clear" w:color="auto" w:fill="FFFFFF"/>
        </w:rPr>
        <w:t>%，较年初预算数增加49.84万元，增长100.0%，主要原因是巫溪县塘坊镇2023年生态护林员选聘巫溪林业发[2023]30号文件追加预算17.15万元，巫溪县塘坊镇2024年生态护林员选聘巫溪林业发[2024]7号文件追加预算28.34万元，塘坊镇2024年生态环境突出问题整治项目溪环文[2024]16号文件追加预算4.35万元。</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b w:val="0"/>
          <w:bCs w:val="0"/>
          <w:color w:val="FF0000"/>
          <w:sz w:val="32"/>
          <w:szCs w:val="32"/>
          <w:shd w:val="clear" w:color="auto" w:fill="FFFFFF"/>
        </w:rPr>
      </w:pPr>
      <w:r>
        <w:rPr>
          <w:rFonts w:ascii="方正仿宋_GBK" w:hAnsi="方正仿宋_GBK" w:eastAsia="方正仿宋_GBK" w:cs="方正仿宋_GBK"/>
          <w:b w:val="0"/>
          <w:bCs w:val="0"/>
          <w:sz w:val="32"/>
          <w:szCs w:val="32"/>
          <w:shd w:val="clear" w:color="auto" w:fill="FFFFFF"/>
        </w:rPr>
        <w:t>（5）农林水支出</w:t>
      </w:r>
      <w:r>
        <w:rPr>
          <w:rFonts w:ascii="方正仿宋_GBK" w:hAnsi="方正仿宋_GBK" w:eastAsia="方正仿宋_GBK" w:cs="方正仿宋_GBK"/>
          <w:b w:val="0"/>
          <w:bCs w:val="0"/>
          <w:sz w:val="32"/>
          <w:szCs w:val="32"/>
        </w:rPr>
        <w:t>1230.19</w:t>
      </w:r>
      <w:r>
        <w:rPr>
          <w:rFonts w:ascii="方正仿宋_GBK" w:hAnsi="方正仿宋_GBK" w:eastAsia="方正仿宋_GBK" w:cs="方正仿宋_GBK"/>
          <w:b w:val="0"/>
          <w:bCs w:val="0"/>
          <w:sz w:val="32"/>
          <w:szCs w:val="32"/>
          <w:shd w:val="clear" w:color="auto" w:fill="FFFFFF"/>
        </w:rPr>
        <w:t>万元，占</w:t>
      </w:r>
      <w:r>
        <w:rPr>
          <w:rFonts w:ascii="方正仿宋_GBK" w:hAnsi="方正仿宋_GBK" w:eastAsia="方正仿宋_GBK" w:cs="方正仿宋_GBK"/>
          <w:b w:val="0"/>
          <w:bCs w:val="0"/>
          <w:sz w:val="32"/>
          <w:szCs w:val="32"/>
        </w:rPr>
        <w:t>55.43</w:t>
      </w:r>
      <w:r>
        <w:rPr>
          <w:rFonts w:ascii="方正仿宋_GBK" w:hAnsi="方正仿宋_GBK" w:eastAsia="方正仿宋_GBK" w:cs="方正仿宋_GBK"/>
          <w:b w:val="0"/>
          <w:bCs w:val="0"/>
          <w:sz w:val="32"/>
          <w:szCs w:val="32"/>
          <w:shd w:val="clear" w:color="auto" w:fill="FFFFFF"/>
        </w:rPr>
        <w:t>%，较年初预算数增加967.65万元，增长368.6%，主要原因是2023年全县耕地保护工作补助资金追加43.8万元，巫溪县2024年塘坊镇双柏村1社白杨河救灾项目巫溪规资发【2024】107号文件追加44.23万元，巫溪县塘坊镇2024年脱贫户、监测户产业帮扶项目溪乡振发[2024]7号文件追加59.3万元，巫溪县塘坊镇2024年两类群体提低增收产业帮扶补助巫溪农发[2024]122号文件追加92.39万元，巫溪县塘坊镇2024年粮油基地建设项目巫溪农发[2024]70号文件追加40万元，巫溪县2023年塘坊双塘村蔬菜基地建设项目巫溪农发[2023]141号文件追加44.6万元，巫溪县2023年塘坊镇红土村自动化蛋鸡养殖项目巫溪农发[2023]141号文件追加72.03万元，巫溪县塘坊镇2024年度非全日制公益性岗位补助溪人社发[2024]22号文件追加86.4万元。</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（6）交通运输支出</w:t>
      </w:r>
      <w:r>
        <w:rPr>
          <w:rFonts w:ascii="方正仿宋_GBK" w:hAnsi="方正仿宋_GBK" w:eastAsia="方正仿宋_GBK" w:cs="方正仿宋_GBK"/>
          <w:b w:val="0"/>
          <w:bCs w:val="0"/>
          <w:sz w:val="32"/>
          <w:szCs w:val="32"/>
        </w:rPr>
        <w:t>107.03</w:t>
      </w:r>
      <w:r>
        <w:rPr>
          <w:rFonts w:ascii="方正仿宋_GBK" w:hAnsi="方正仿宋_GBK" w:eastAsia="方正仿宋_GBK" w:cs="方正仿宋_GBK"/>
          <w:b w:val="0"/>
          <w:bCs w:val="0"/>
          <w:sz w:val="32"/>
          <w:szCs w:val="32"/>
          <w:shd w:val="clear" w:color="auto" w:fill="FFFFFF"/>
        </w:rPr>
        <w:t>万元，占</w:t>
      </w:r>
      <w:r>
        <w:rPr>
          <w:rFonts w:ascii="方正仿宋_GBK" w:hAnsi="方正仿宋_GBK" w:eastAsia="方正仿宋_GBK" w:cs="方正仿宋_GBK"/>
          <w:b w:val="0"/>
          <w:bCs w:val="0"/>
          <w:sz w:val="32"/>
          <w:szCs w:val="32"/>
        </w:rPr>
        <w:t>4.82</w:t>
      </w:r>
      <w:r>
        <w:rPr>
          <w:rFonts w:ascii="方正仿宋_GBK" w:hAnsi="方正仿宋_GBK" w:eastAsia="方正仿宋_GBK" w:cs="方正仿宋_GBK"/>
          <w:b w:val="0"/>
          <w:bCs w:val="0"/>
          <w:sz w:val="32"/>
          <w:szCs w:val="32"/>
          <w:shd w:val="clear" w:color="auto" w:fill="FFFFFF"/>
        </w:rPr>
        <w:t>%，较年初预算数增加107.03万元，增长100.0%，主要原因是塘坊镇农村公路建设溪交函[2024]134号文件追加107.03万元。</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7）住房保障支出83.69万元，占3.77%，较年初预算数增加36.88万元，增长78.8%，主要原因是塘坊镇城镇棚户区（危旧房）改造巫溪住建发[2023]115号文件追加31.13万元，塘坊镇农村危房改造巫溪住建发[2024]年12号文件追加5.75万元。</w:t>
      </w:r>
    </w:p>
    <w:p>
      <w:pPr>
        <w:ind w:firstLine="640" w:firstLineChars="200"/>
        <w:rPr>
          <w:rFonts w:hint="default" w:ascii="方正仿宋_GBK" w:hAnsi="方正仿宋_GBK" w:eastAsia="方正仿宋_GBK" w:cs="方正仿宋_GBK"/>
          <w:b w:val="0"/>
          <w:bCs w:val="0"/>
          <w:color w:val="FF0000"/>
          <w:sz w:val="32"/>
          <w:szCs w:val="32"/>
          <w:shd w:val="clear" w:color="auto" w:fill="FFFFFF"/>
        </w:rPr>
      </w:pPr>
      <w:r>
        <w:rPr>
          <w:rFonts w:ascii="方正仿宋_GBK" w:hAnsi="方正仿宋_GBK" w:eastAsia="方正仿宋_GBK" w:cs="方正仿宋_GBK"/>
          <w:b w:val="0"/>
          <w:bCs w:val="0"/>
          <w:sz w:val="32"/>
          <w:szCs w:val="32"/>
          <w:shd w:val="clear" w:color="auto" w:fill="FFFFFF"/>
        </w:rPr>
        <w:t>（8）</w:t>
      </w:r>
      <w:r>
        <w:rPr>
          <w:rFonts w:ascii="方正仿宋_GBK" w:hAnsi="方正仿宋_GBK" w:eastAsia="方正仿宋_GBK" w:cs="方正仿宋_GBK"/>
          <w:b w:val="0"/>
          <w:bCs w:val="0"/>
          <w:sz w:val="32"/>
          <w:szCs w:val="32"/>
        </w:rPr>
        <w:t>灾害防治及应急管理支出31.99</w:t>
      </w:r>
      <w:r>
        <w:rPr>
          <w:rFonts w:ascii="方正仿宋_GBK" w:hAnsi="方正仿宋_GBK" w:eastAsia="方正仿宋_GBK" w:cs="方正仿宋_GBK"/>
          <w:b w:val="0"/>
          <w:bCs w:val="0"/>
          <w:sz w:val="32"/>
          <w:szCs w:val="32"/>
          <w:shd w:val="clear" w:color="auto" w:fill="FFFFFF"/>
        </w:rPr>
        <w:t>万元，占</w:t>
      </w:r>
      <w:r>
        <w:rPr>
          <w:rFonts w:ascii="方正仿宋_GBK" w:hAnsi="方正仿宋_GBK" w:eastAsia="方正仿宋_GBK" w:cs="方正仿宋_GBK"/>
          <w:b w:val="0"/>
          <w:bCs w:val="0"/>
          <w:sz w:val="32"/>
          <w:szCs w:val="32"/>
        </w:rPr>
        <w:t>1.44</w:t>
      </w:r>
      <w:r>
        <w:rPr>
          <w:rFonts w:ascii="方正仿宋_GBK" w:hAnsi="方正仿宋_GBK" w:eastAsia="方正仿宋_GBK" w:cs="方正仿宋_GBK"/>
          <w:b w:val="0"/>
          <w:bCs w:val="0"/>
          <w:sz w:val="32"/>
          <w:szCs w:val="32"/>
          <w:shd w:val="clear" w:color="auto" w:fill="FFFFFF"/>
        </w:rPr>
        <w:t>%，较年初预算数增加31.99万元，增长100.0%，主要原因是塘坊镇冬春救助巫溪应急发〔2024〕1号文件追加19.95万元，塘坊镇2023年灾毁项目巫溪应急发[2024]19号文件追加7.48万元，关于下达2024年自然灾害救灾补助资金巫溪应急发[2024]52号文件追加4万元。</w:t>
      </w:r>
    </w:p>
    <w:p>
      <w:pPr>
        <w:pStyle w:val="11"/>
        <w:autoSpaceDE w:val="0"/>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2024年度一般公共财政拨款基本支出</w:t>
      </w:r>
      <w:r>
        <w:rPr>
          <w:rFonts w:ascii="方正仿宋_GBK" w:hAnsi="方正仿宋_GBK" w:eastAsia="方正仿宋_GBK" w:cs="方正仿宋_GBK"/>
          <w:b w:val="0"/>
          <w:bCs w:val="0"/>
          <w:sz w:val="32"/>
          <w:szCs w:val="32"/>
        </w:rPr>
        <w:t>735.75</w:t>
      </w:r>
      <w:r>
        <w:rPr>
          <w:rFonts w:ascii="方正仿宋_GBK" w:hAnsi="方正仿宋_GBK" w:eastAsia="方正仿宋_GBK" w:cs="方正仿宋_GBK"/>
          <w:b w:val="0"/>
          <w:bCs w:val="0"/>
          <w:sz w:val="32"/>
          <w:szCs w:val="32"/>
          <w:shd w:val="clear" w:color="auto" w:fill="FFFFFF"/>
        </w:rPr>
        <w:t>万元。其中：人员经费</w:t>
      </w:r>
      <w:r>
        <w:rPr>
          <w:rFonts w:ascii="方正仿宋_GBK" w:hAnsi="方正仿宋_GBK" w:eastAsia="方正仿宋_GBK" w:cs="方正仿宋_GBK"/>
          <w:b w:val="0"/>
          <w:bCs w:val="0"/>
          <w:sz w:val="32"/>
          <w:szCs w:val="32"/>
        </w:rPr>
        <w:t>646.85</w:t>
      </w:r>
      <w:r>
        <w:rPr>
          <w:rFonts w:ascii="方正仿宋_GBK" w:hAnsi="方正仿宋_GBK" w:eastAsia="方正仿宋_GBK" w:cs="方正仿宋_GBK"/>
          <w:b w:val="0"/>
          <w:bCs w:val="0"/>
          <w:sz w:val="32"/>
          <w:szCs w:val="32"/>
          <w:shd w:val="clear" w:color="auto" w:fill="FFFFFF"/>
        </w:rPr>
        <w:t>万元，与2023年度相比，减少240.60万元，下降27.1%，主要原因是2024年农业服务中心成为独立核算机构，决算单独编报，人员经费减少。人员经费用途主要包括工资、津贴补贴、奖金、社会保障缴费、绩效工资、住房公积金。公用经费</w:t>
      </w:r>
      <w:r>
        <w:rPr>
          <w:rFonts w:ascii="方正仿宋_GBK" w:hAnsi="方正仿宋_GBK" w:eastAsia="方正仿宋_GBK" w:cs="方正仿宋_GBK"/>
          <w:b w:val="0"/>
          <w:bCs w:val="0"/>
          <w:sz w:val="32"/>
          <w:szCs w:val="32"/>
        </w:rPr>
        <w:t>88.89</w:t>
      </w:r>
      <w:r>
        <w:rPr>
          <w:rFonts w:ascii="方正仿宋_GBK" w:hAnsi="方正仿宋_GBK" w:eastAsia="方正仿宋_GBK" w:cs="方正仿宋_GBK"/>
          <w:b w:val="0"/>
          <w:bCs w:val="0"/>
          <w:sz w:val="32"/>
          <w:szCs w:val="32"/>
          <w:shd w:val="clear" w:color="auto" w:fill="FFFFFF"/>
        </w:rPr>
        <w:t>万元，与2023年度相比，减少23.62万元，下降21.0%，主要原因是2024年农业服务中心成为独立核算机构，决算单独编报，公用经费减少。公用经费用途主要包括办公费、水费、电费、差旅费、公务接待费、工会经费、福利费、公车运行维护费、其他交通费用、其他商品和服务支出费用。</w:t>
      </w:r>
    </w:p>
    <w:p>
      <w:pPr>
        <w:pStyle w:val="11"/>
        <w:numPr>
          <w:ilvl w:val="0"/>
          <w:numId w:val="1"/>
        </w:numPr>
        <w:autoSpaceDE w:val="0"/>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政府性基金预算收支决算情况说明</w:t>
      </w:r>
    </w:p>
    <w:p>
      <w:pPr>
        <w:pStyle w:val="11"/>
        <w:autoSpaceDE w:val="0"/>
        <w:ind w:firstLine="0" w:firstLineChars="0"/>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 xml:space="preserve">    本部门2024年度无政府性基金预算财政收支。</w:t>
      </w:r>
    </w:p>
    <w:p>
      <w:pPr>
        <w:pStyle w:val="11"/>
        <w:autoSpaceDE w:val="0"/>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（六）国有资本经营预算财政拨款支出决算情况说明</w:t>
      </w:r>
    </w:p>
    <w:p>
      <w:pPr>
        <w:pStyle w:val="7"/>
        <w:shd w:val="clear" w:color="auto" w:fill="FFFFFF"/>
        <w:spacing w:before="0" w:beforeAutospacing="0" w:after="0" w:afterAutospacing="0" w:line="596" w:lineRule="exact"/>
        <w:ind w:firstLine="640" w:firstLineChars="200"/>
        <w:rPr>
          <w:rStyle w:val="10"/>
          <w:rFonts w:hint="default" w:ascii="黑体" w:hAnsi="黑体" w:eastAsia="黑体" w:cs="黑体"/>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本部门2024年度无国有资本经营预算财政拨款支出。</w:t>
      </w:r>
      <w:r>
        <w:rPr>
          <w:rStyle w:val="10"/>
          <w:rFonts w:ascii="黑体" w:hAnsi="黑体" w:eastAsia="黑体" w:cs="黑体"/>
          <w:b w:val="0"/>
          <w:bCs w:val="0"/>
          <w:sz w:val="32"/>
          <w:szCs w:val="32"/>
          <w:shd w:val="clear" w:color="auto" w:fill="FFFFFF"/>
        </w:rPr>
        <w:t>三、财政拨款“三公”经费情况说明</w:t>
      </w:r>
    </w:p>
    <w:p>
      <w:pPr>
        <w:pStyle w:val="11"/>
        <w:autoSpaceDE w:val="0"/>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 xml:space="preserve"> （一）“三公”经费支出总体情况说明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2024年度“三公”经费支出共计11.43万元，较年初预算数减少0.57万元，下降4.8%，主要原因是公务接待费减少0.57万元，本镇严格按照“三公”经费要求，压减开支，严格控制三公经费支出，认真贯彻落实中央八项规定精神，按照只减不增的要求从严控制</w:t>
      </w:r>
      <w:r>
        <w:rPr>
          <w:rFonts w:hint="default" w:ascii="Times New Roman" w:hAnsi="Times New Roman" w:eastAsia="方正仿宋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三公</w:t>
      </w:r>
      <w:r>
        <w:rPr>
          <w:rFonts w:hint="default" w:ascii="Times New Roman" w:hAnsi="Times New Roman" w:eastAsia="方正仿宋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经费。较上年支出数减少3.64万元，下降24.2%，主要原因是公务用车减少0.87万元，公务接待费减少2.77万元，本镇严格按照“三公”经费要求，压减开支，严格控制三公经费支出，认真贯彻落实中央八项规定精神，按照只减不增的要求从严控制</w:t>
      </w:r>
      <w:r>
        <w:rPr>
          <w:rFonts w:hint="default" w:ascii="Times New Roman" w:hAnsi="Times New Roman" w:eastAsia="方正仿宋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三公</w:t>
      </w:r>
      <w:r>
        <w:rPr>
          <w:rFonts w:hint="default" w:ascii="Times New Roman" w:hAnsi="Times New Roman" w:eastAsia="方正仿宋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经费。</w:t>
      </w:r>
    </w:p>
    <w:p>
      <w:pPr>
        <w:pStyle w:val="11"/>
        <w:autoSpaceDE w:val="0"/>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（二）“三公”经费分项支出情况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2024年度本部门因公出国（境）费用</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主要是用于本部门为基层乡镇人民政府，无因公出国（境）费用。费用支出较年初预算数无增减，主要原因是本部门无因公出国（境）费用。较上年支出数无增减，主要原因是本部门无因公出国（境）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公务车购置费</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万元，因本部门为基层乡镇人民政府，公务车购置由机关事务局统一购买。费用支出较年初预算数无增减，主要原因是本部门无公务车购置费。较上年支出数无增减，主要原因是本部门无公务车购置费。</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务车运行维护费7.00万元，主要用于维修费为4.93万元，保险费为1.05万元，加油费为1.02万元，费用支出较年初预算数无增减，主要原因是严格按照年初预算执行较上年支出数减少0.87万元，下降11.1%，主要原因是2024年加油费减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公务接待费</w:t>
      </w:r>
      <w:r>
        <w:rPr>
          <w:rFonts w:ascii="方正仿宋_GBK" w:hAnsi="方正仿宋_GBK" w:eastAsia="方正仿宋_GBK" w:cs="方正仿宋_GBK"/>
          <w:b w:val="0"/>
          <w:bCs w:val="0"/>
          <w:sz w:val="32"/>
          <w:szCs w:val="32"/>
        </w:rPr>
        <w:t>4.43</w:t>
      </w:r>
      <w:r>
        <w:rPr>
          <w:rFonts w:ascii="方正仿宋_GBK" w:hAnsi="方正仿宋_GBK" w:eastAsia="方正仿宋_GBK" w:cs="方正仿宋_GBK"/>
          <w:b w:val="0"/>
          <w:bCs w:val="0"/>
          <w:sz w:val="32"/>
          <w:szCs w:val="32"/>
          <w:shd w:val="clear" w:color="auto" w:fill="FFFFFF"/>
        </w:rPr>
        <w:t>万元，主要用于接待上级部门到我单位调研、检查、指导工作发生的接待支出。其中共接待92批次、985人次。费用支出较年初预算数减少0.57万元，下降11.4%，主要原因是强化公务接待支出管理，严格遵守公务接待开支范围和开支标准，严格控制陪餐人数，对应由接待对象承担的费用一律由接待对象自行支付，公务接待费有所下降。较上年支出数减少2.77万元，下降38.5%，主要原因是严控公务接待支出，相关单位莅临检查安排到食堂就餐。</w:t>
      </w:r>
    </w:p>
    <w:p>
      <w:pPr>
        <w:pStyle w:val="11"/>
        <w:autoSpaceDE w:val="0"/>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 xml:space="preserve"> 2024年度本部门因公出国（境）共计</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个团组，</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人；公务用车购置</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辆，公务车保有量为</w:t>
      </w:r>
      <w:r>
        <w:rPr>
          <w:rFonts w:ascii="方正仿宋_GBK" w:hAnsi="方正仿宋_GBK" w:eastAsia="方正仿宋_GBK" w:cs="方正仿宋_GBK"/>
          <w:b w:val="0"/>
          <w:bCs w:val="0"/>
          <w:sz w:val="32"/>
          <w:szCs w:val="32"/>
        </w:rPr>
        <w:t>2</w:t>
      </w:r>
      <w:r>
        <w:rPr>
          <w:rFonts w:ascii="方正仿宋_GBK" w:hAnsi="方正仿宋_GBK" w:eastAsia="方正仿宋_GBK" w:cs="方正仿宋_GBK"/>
          <w:b w:val="0"/>
          <w:bCs w:val="0"/>
          <w:sz w:val="32"/>
          <w:szCs w:val="32"/>
          <w:shd w:val="clear" w:color="auto" w:fill="FFFFFF"/>
        </w:rPr>
        <w:t>辆；国内公务接待</w:t>
      </w:r>
      <w:r>
        <w:rPr>
          <w:rFonts w:ascii="方正仿宋_GBK" w:hAnsi="方正仿宋_GBK" w:eastAsia="方正仿宋_GBK" w:cs="方正仿宋_GBK"/>
          <w:b w:val="0"/>
          <w:bCs w:val="0"/>
          <w:sz w:val="32"/>
          <w:szCs w:val="32"/>
        </w:rPr>
        <w:t>92</w:t>
      </w:r>
      <w:r>
        <w:rPr>
          <w:rFonts w:ascii="方正仿宋_GBK" w:hAnsi="方正仿宋_GBK" w:eastAsia="方正仿宋_GBK" w:cs="方正仿宋_GBK"/>
          <w:b w:val="0"/>
          <w:bCs w:val="0"/>
          <w:sz w:val="32"/>
          <w:szCs w:val="32"/>
          <w:shd w:val="clear" w:color="auto" w:fill="FFFFFF"/>
        </w:rPr>
        <w:t>批次</w:t>
      </w:r>
      <w:r>
        <w:rPr>
          <w:rFonts w:ascii="方正仿宋_GBK" w:hAnsi="方正仿宋_GBK" w:eastAsia="方正仿宋_GBK" w:cs="方正仿宋_GBK"/>
          <w:b w:val="0"/>
          <w:bCs w:val="0"/>
          <w:sz w:val="32"/>
          <w:szCs w:val="32"/>
        </w:rPr>
        <w:t>985</w:t>
      </w:r>
      <w:r>
        <w:rPr>
          <w:rFonts w:ascii="方正仿宋_GBK" w:hAnsi="方正仿宋_GBK" w:eastAsia="方正仿宋_GBK" w:cs="方正仿宋_GBK"/>
          <w:b w:val="0"/>
          <w:bCs w:val="0"/>
          <w:sz w:val="32"/>
          <w:szCs w:val="32"/>
          <w:shd w:val="clear" w:color="auto" w:fill="FFFFFF"/>
        </w:rPr>
        <w:t>人，其中：国内外事接待</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人；国（境）外公务接待</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人。2024年本部门人均接待费</w:t>
      </w:r>
      <w:r>
        <w:rPr>
          <w:rFonts w:ascii="方正仿宋_GBK" w:hAnsi="方正仿宋_GBK" w:eastAsia="方正仿宋_GBK" w:cs="方正仿宋_GBK"/>
          <w:b w:val="0"/>
          <w:bCs w:val="0"/>
          <w:sz w:val="32"/>
          <w:szCs w:val="32"/>
        </w:rPr>
        <w:t>45.00</w:t>
      </w:r>
      <w:r>
        <w:rPr>
          <w:rFonts w:ascii="方正仿宋_GBK" w:hAnsi="方正仿宋_GBK" w:eastAsia="方正仿宋_GBK" w:cs="方正仿宋_GBK"/>
          <w:b w:val="0"/>
          <w:bCs w:val="0"/>
          <w:sz w:val="32"/>
          <w:szCs w:val="32"/>
          <w:shd w:val="clear" w:color="auto" w:fill="FFFFFF"/>
        </w:rPr>
        <w:t>元，车均购置费</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万元，车均维护费</w:t>
      </w:r>
      <w:r>
        <w:rPr>
          <w:rFonts w:ascii="方正仿宋_GBK" w:hAnsi="方正仿宋_GBK" w:eastAsia="方正仿宋_GBK" w:cs="方正仿宋_GBK"/>
          <w:b w:val="0"/>
          <w:bCs w:val="0"/>
          <w:sz w:val="32"/>
          <w:szCs w:val="32"/>
        </w:rPr>
        <w:t>3.50</w:t>
      </w:r>
      <w:r>
        <w:rPr>
          <w:rFonts w:ascii="方正仿宋_GBK" w:hAnsi="方正仿宋_GBK" w:eastAsia="方正仿宋_GBK" w:cs="方正仿宋_GBK"/>
          <w:b w:val="0"/>
          <w:bCs w:val="0"/>
          <w:sz w:val="32"/>
          <w:szCs w:val="32"/>
          <w:shd w:val="clear" w:color="auto" w:fill="FFFFFF"/>
        </w:rPr>
        <w:t>万元。</w:t>
      </w:r>
    </w:p>
    <w:p>
      <w:pPr>
        <w:pStyle w:val="7"/>
        <w:shd w:val="clear" w:color="auto" w:fill="FFFFFF"/>
        <w:ind w:firstLine="640" w:firstLineChars="200"/>
        <w:rPr>
          <w:rStyle w:val="10"/>
          <w:rFonts w:hint="default" w:ascii="黑体" w:hAnsi="黑体" w:eastAsia="黑体" w:cs="黑体"/>
          <w:b w:val="0"/>
          <w:bCs w:val="0"/>
          <w:sz w:val="32"/>
          <w:szCs w:val="32"/>
          <w:shd w:val="clear" w:color="auto" w:fill="FFFFFF"/>
        </w:rPr>
      </w:pPr>
      <w:r>
        <w:rPr>
          <w:rStyle w:val="10"/>
          <w:rFonts w:ascii="黑体" w:hAnsi="黑体" w:eastAsia="黑体" w:cs="黑体"/>
          <w:b w:val="0"/>
          <w:bCs w:val="0"/>
          <w:sz w:val="32"/>
          <w:szCs w:val="32"/>
          <w:shd w:val="clear" w:color="auto" w:fill="FFFFFF"/>
        </w:rPr>
        <w:t>四、其他需要说明的事项</w:t>
      </w:r>
    </w:p>
    <w:p>
      <w:pPr>
        <w:pStyle w:val="11"/>
        <w:autoSpaceDE w:val="0"/>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 xml:space="preserve">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本年度会议费支出</w:t>
      </w:r>
      <w:r>
        <w:rPr>
          <w:rFonts w:ascii="方正仿宋_GBK" w:hAnsi="方正仿宋_GBK" w:eastAsia="方正仿宋_GBK" w:cs="方正仿宋_GBK"/>
          <w:b w:val="0"/>
          <w:bCs w:val="0"/>
          <w:sz w:val="32"/>
          <w:szCs w:val="32"/>
        </w:rPr>
        <w:t>6.00</w:t>
      </w:r>
      <w:r>
        <w:rPr>
          <w:rFonts w:ascii="方正仿宋_GBK" w:hAnsi="方正仿宋_GBK" w:eastAsia="方正仿宋_GBK" w:cs="方正仿宋_GBK"/>
          <w:b w:val="0"/>
          <w:bCs w:val="0"/>
          <w:sz w:val="32"/>
          <w:szCs w:val="32"/>
          <w:shd w:val="clear" w:color="auto" w:fill="FFFFFF"/>
        </w:rPr>
        <w:t>万元，与2023年度相比，增加2.63万元，增长78.0%，主要原因是人代会召开会议两次，调研2次。本年度培训费支出</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万元，与2023年度相比，无变化，主要原因是本镇培训经费有专项经费支出。</w:t>
      </w:r>
    </w:p>
    <w:p>
      <w:pPr>
        <w:pStyle w:val="11"/>
        <w:autoSpaceDE w:val="0"/>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2024年度本部门机关运行经费支出</w:t>
      </w:r>
      <w:r>
        <w:rPr>
          <w:rFonts w:ascii="方正仿宋_GBK" w:hAnsi="方正仿宋_GBK" w:eastAsia="方正仿宋_GBK" w:cs="方正仿宋_GBK"/>
          <w:b w:val="0"/>
          <w:bCs w:val="0"/>
          <w:sz w:val="32"/>
          <w:szCs w:val="32"/>
        </w:rPr>
        <w:t>88.89</w:t>
      </w:r>
      <w:r>
        <w:rPr>
          <w:rFonts w:ascii="方正仿宋_GBK" w:hAnsi="方正仿宋_GBK" w:eastAsia="方正仿宋_GBK" w:cs="方正仿宋_GBK"/>
          <w:b w:val="0"/>
          <w:bCs w:val="0"/>
          <w:sz w:val="32"/>
          <w:szCs w:val="32"/>
          <w:shd w:val="clear" w:color="auto" w:fill="FFFFFF"/>
        </w:rPr>
        <w:t>万元，机关运行经费主要用于开支办公费25.28万元，水费1万元，电费10万元，差旅费8.01万元，公务接待费4.43万元，工会经费1.49万元，福利费3.1万元，公务用车运行维护费7万元，其他交通费26.28万元，其他商品和服务支出2.3万元。机关运行经费较上年支出数增加4.19万元，增长5.0%，主要原因是办公费增加7.28万元，水电费增加2.8万元，差旅费减少7.59万元，公务接待费减少4.43万元，工会经费减少0.07万元，福利费增加0.94万元，公务用车运行维护费减少0.87万元，其他交通费增加1.05万元，其他商品和服务支出增加1.22万元。</w:t>
      </w:r>
    </w:p>
    <w:p>
      <w:pPr>
        <w:pStyle w:val="11"/>
        <w:autoSpaceDE w:val="0"/>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截至2024年12月31日，本部门共有车辆</w:t>
      </w:r>
      <w:r>
        <w:rPr>
          <w:rFonts w:ascii="方正仿宋_GBK" w:hAnsi="方正仿宋_GBK" w:eastAsia="方正仿宋_GBK" w:cs="方正仿宋_GBK"/>
          <w:b w:val="0"/>
          <w:bCs w:val="0"/>
          <w:sz w:val="32"/>
          <w:szCs w:val="32"/>
        </w:rPr>
        <w:t>2</w:t>
      </w:r>
      <w:r>
        <w:rPr>
          <w:rFonts w:ascii="方正仿宋_GBK" w:hAnsi="方正仿宋_GBK" w:eastAsia="方正仿宋_GBK" w:cs="方正仿宋_GBK"/>
          <w:b w:val="0"/>
          <w:bCs w:val="0"/>
          <w:sz w:val="32"/>
          <w:szCs w:val="32"/>
          <w:shd w:val="clear" w:color="auto" w:fill="FFFFFF"/>
        </w:rPr>
        <w:t>辆，其中，副部（省）级及以上领导用车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辆、主要负责人用车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辆、机要通信用车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辆、应急保障用车</w:t>
      </w:r>
      <w:r>
        <w:rPr>
          <w:rFonts w:ascii="方正仿宋_GBK" w:hAnsi="方正仿宋_GBK" w:eastAsia="方正仿宋_GBK" w:cs="方正仿宋_GBK"/>
          <w:b w:val="0"/>
          <w:bCs w:val="0"/>
          <w:sz w:val="32"/>
          <w:szCs w:val="32"/>
        </w:rPr>
        <w:t>2</w:t>
      </w:r>
      <w:r>
        <w:rPr>
          <w:rFonts w:ascii="方正仿宋_GBK" w:hAnsi="方正仿宋_GBK" w:eastAsia="方正仿宋_GBK" w:cs="方正仿宋_GBK"/>
          <w:b w:val="0"/>
          <w:bCs w:val="0"/>
          <w:sz w:val="32"/>
          <w:szCs w:val="32"/>
          <w:shd w:val="clear" w:color="auto" w:fill="FFFFFF"/>
        </w:rPr>
        <w:t>辆、执法执勤用车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辆，特种专业技术用车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辆，离退休干部用车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辆。单价100万元（含）以上专用设备</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台（套）。</w:t>
      </w:r>
    </w:p>
    <w:p>
      <w:pPr>
        <w:pStyle w:val="11"/>
        <w:autoSpaceDE w:val="0"/>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color w:val="FF0000"/>
          <w:sz w:val="32"/>
          <w:szCs w:val="32"/>
          <w:shd w:val="clear" w:color="auto" w:fill="FFFFFF"/>
        </w:rPr>
      </w:pPr>
      <w:r>
        <w:rPr>
          <w:rFonts w:ascii="方正仿宋_GBK" w:hAnsi="方正仿宋_GBK" w:eastAsia="方正仿宋_GBK" w:cs="方正仿宋_GBK"/>
          <w:b w:val="0"/>
          <w:bCs w:val="0"/>
          <w:sz w:val="32"/>
          <w:szCs w:val="32"/>
          <w:shd w:val="clear" w:color="auto" w:fill="FFFFFF"/>
        </w:rPr>
        <w:t>2024年度本部门政府采购支出总额</w:t>
      </w:r>
      <w:r>
        <w:rPr>
          <w:rFonts w:ascii="方正仿宋_GBK" w:hAnsi="方正仿宋_GBK" w:eastAsia="方正仿宋_GBK" w:cs="方正仿宋_GBK"/>
          <w:b w:val="0"/>
          <w:bCs w:val="0"/>
          <w:sz w:val="32"/>
          <w:szCs w:val="32"/>
        </w:rPr>
        <w:t>3.90</w:t>
      </w:r>
      <w:r>
        <w:rPr>
          <w:rFonts w:ascii="方正仿宋_GBK" w:hAnsi="方正仿宋_GBK" w:eastAsia="方正仿宋_GBK" w:cs="方正仿宋_GBK"/>
          <w:b w:val="0"/>
          <w:bCs w:val="0"/>
          <w:sz w:val="32"/>
          <w:szCs w:val="32"/>
          <w:shd w:val="clear" w:color="auto" w:fill="FFFFFF"/>
        </w:rPr>
        <w:t>万元，其中：政府采购货物支出</w:t>
      </w:r>
      <w:r>
        <w:rPr>
          <w:rFonts w:ascii="方正仿宋_GBK" w:hAnsi="方正仿宋_GBK" w:eastAsia="方正仿宋_GBK" w:cs="方正仿宋_GBK"/>
          <w:b w:val="0"/>
          <w:bCs w:val="0"/>
          <w:sz w:val="32"/>
          <w:szCs w:val="32"/>
        </w:rPr>
        <w:t>3.90</w:t>
      </w:r>
      <w:r>
        <w:rPr>
          <w:rFonts w:ascii="方正仿宋_GBK" w:hAnsi="方正仿宋_GBK" w:eastAsia="方正仿宋_GBK" w:cs="方正仿宋_GBK"/>
          <w:b w:val="0"/>
          <w:bCs w:val="0"/>
          <w:sz w:val="32"/>
          <w:szCs w:val="32"/>
          <w:shd w:val="clear" w:color="auto" w:fill="FFFFFF"/>
        </w:rPr>
        <w:t>万元、政府采购工程支出</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万元、政府采购服务支出</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万元。授予中小企业合同金额</w:t>
      </w:r>
      <w:r>
        <w:rPr>
          <w:rFonts w:ascii="方正仿宋_GBK" w:hAnsi="方正仿宋_GBK" w:eastAsia="方正仿宋_GBK" w:cs="方正仿宋_GBK"/>
          <w:b w:val="0"/>
          <w:bCs w:val="0"/>
          <w:sz w:val="32"/>
          <w:szCs w:val="32"/>
        </w:rPr>
        <w:t>3.90万</w:t>
      </w:r>
      <w:r>
        <w:rPr>
          <w:rFonts w:ascii="方正仿宋_GBK" w:hAnsi="方正仿宋_GBK" w:eastAsia="方正仿宋_GBK" w:cs="方正仿宋_GBK"/>
          <w:b w:val="0"/>
          <w:bCs w:val="0"/>
          <w:sz w:val="32"/>
          <w:szCs w:val="32"/>
          <w:shd w:val="clear" w:color="auto" w:fill="FFFFFF"/>
        </w:rPr>
        <w:t>元，占政府采购支出总额的</w:t>
      </w:r>
      <w:r>
        <w:rPr>
          <w:rFonts w:ascii="方正仿宋_GBK" w:hAnsi="方正仿宋_GBK" w:eastAsia="方正仿宋_GBK" w:cs="方正仿宋_GBK"/>
          <w:b w:val="0"/>
          <w:bCs w:val="0"/>
          <w:sz w:val="32"/>
          <w:szCs w:val="32"/>
        </w:rPr>
        <w:t>100.00</w:t>
      </w:r>
      <w:r>
        <w:rPr>
          <w:rFonts w:ascii="方正仿宋_GBK" w:hAnsi="方正仿宋_GBK" w:eastAsia="方正仿宋_GBK" w:cs="方正仿宋_GBK"/>
          <w:b w:val="0"/>
          <w:bCs w:val="0"/>
          <w:sz w:val="32"/>
          <w:szCs w:val="32"/>
          <w:shd w:val="clear" w:color="auto" w:fill="FFFFFF"/>
        </w:rPr>
        <w:t>%，其中：授予小微企业合同金额</w:t>
      </w:r>
      <w:r>
        <w:rPr>
          <w:rFonts w:ascii="方正仿宋_GBK" w:hAnsi="方正仿宋_GBK" w:eastAsia="方正仿宋_GBK" w:cs="方正仿宋_GBK"/>
          <w:b w:val="0"/>
          <w:bCs w:val="0"/>
          <w:sz w:val="32"/>
          <w:szCs w:val="32"/>
        </w:rPr>
        <w:t>3.90</w:t>
      </w:r>
      <w:r>
        <w:rPr>
          <w:rFonts w:ascii="方正仿宋_GBK" w:hAnsi="方正仿宋_GBK" w:eastAsia="方正仿宋_GBK" w:cs="方正仿宋_GBK"/>
          <w:b w:val="0"/>
          <w:bCs w:val="0"/>
          <w:sz w:val="32"/>
          <w:szCs w:val="32"/>
          <w:shd w:val="clear" w:color="auto" w:fill="FFFFFF"/>
        </w:rPr>
        <w:t>万元，占政府采购支出总额的</w:t>
      </w:r>
      <w:r>
        <w:rPr>
          <w:rFonts w:ascii="方正仿宋_GBK" w:hAnsi="方正仿宋_GBK" w:eastAsia="方正仿宋_GBK" w:cs="方正仿宋_GBK"/>
          <w:b w:val="0"/>
          <w:bCs w:val="0"/>
          <w:sz w:val="32"/>
          <w:szCs w:val="32"/>
        </w:rPr>
        <w:t>100.00</w:t>
      </w:r>
      <w:r>
        <w:rPr>
          <w:rFonts w:ascii="方正仿宋_GBK" w:hAnsi="方正仿宋_GBK" w:eastAsia="方正仿宋_GBK" w:cs="方正仿宋_GBK"/>
          <w:b w:val="0"/>
          <w:bCs w:val="0"/>
          <w:sz w:val="32"/>
          <w:szCs w:val="32"/>
          <w:shd w:val="clear" w:color="auto" w:fill="FFFFFF"/>
        </w:rPr>
        <w:t xml:space="preserve"> %。主要用于采购大型复印机。</w:t>
      </w:r>
    </w:p>
    <w:p>
      <w:pPr>
        <w:pStyle w:val="12"/>
        <w:spacing w:before="0" w:beforeAutospacing="0" w:after="0" w:afterAutospacing="0" w:line="596" w:lineRule="exact"/>
        <w:ind w:firstLine="640" w:firstLineChars="200"/>
        <w:rPr>
          <w:rStyle w:val="10"/>
          <w:rFonts w:ascii="黑体" w:hAnsi="黑体" w:eastAsia="黑体" w:cs="黑体"/>
          <w:b w:val="0"/>
          <w:bCs w:val="0"/>
          <w:sz w:val="32"/>
          <w:szCs w:val="32"/>
          <w:shd w:val="clear" w:color="auto" w:fill="FFFFFF"/>
        </w:rPr>
      </w:pPr>
      <w:r>
        <w:rPr>
          <w:rStyle w:val="10"/>
          <w:rFonts w:hint="eastAsia" w:ascii="黑体" w:hAnsi="黑体" w:eastAsia="黑体" w:cs="黑体"/>
          <w:b w:val="0"/>
          <w:bCs w:val="0"/>
          <w:sz w:val="32"/>
          <w:szCs w:val="32"/>
          <w:shd w:val="clear" w:color="auto" w:fill="FFFFFF"/>
        </w:rPr>
        <w:t>五、2024年度预算绩效管理情况说明</w:t>
      </w:r>
    </w:p>
    <w:p>
      <w:pPr>
        <w:pStyle w:val="12"/>
        <w:autoSpaceDE w:val="0"/>
        <w:spacing w:before="0" w:beforeAutospacing="0" w:after="0" w:afterAutospacing="0" w:line="596" w:lineRule="exact"/>
        <w:ind w:firstLine="640" w:firstLineChars="200"/>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（一）单位自评情况</w:t>
      </w:r>
    </w:p>
    <w:p>
      <w:pPr>
        <w:pStyle w:val="12"/>
        <w:autoSpaceDE w:val="0"/>
        <w:spacing w:before="0" w:beforeAutospacing="0" w:line="594" w:lineRule="exact"/>
        <w:ind w:firstLine="640" w:firstLineChars="200"/>
        <w:jc w:val="both"/>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根据预算绩效管理要求，本单位对</w:t>
      </w:r>
      <w:r>
        <w:rPr>
          <w:rFonts w:hint="eastAsia" w:ascii="Times New Roman" w:hAnsi="Times New Roman" w:eastAsia="方正仿宋_GBK"/>
          <w:b w:val="0"/>
          <w:bCs w:val="0"/>
          <w:sz w:val="32"/>
          <w:szCs w:val="32"/>
          <w:shd w:val="clear" w:color="auto" w:fill="FFFFFF"/>
        </w:rPr>
        <w:t>62</w:t>
      </w:r>
      <w:r>
        <w:rPr>
          <w:rFonts w:hint="eastAsia" w:ascii="方正仿宋_GBK" w:hAnsi="方正仿宋_GBK" w:eastAsia="方正仿宋_GBK" w:cs="方正仿宋_GBK"/>
          <w:b w:val="0"/>
          <w:bCs w:val="0"/>
          <w:sz w:val="32"/>
          <w:szCs w:val="32"/>
          <w:shd w:val="clear" w:color="auto" w:fill="FFFFFF"/>
        </w:rPr>
        <w:t>个项目开展了绩效自评，其中，以填报自评表形式开展自评</w:t>
      </w:r>
      <w:r>
        <w:rPr>
          <w:rFonts w:hint="eastAsia" w:ascii="Times New Roman" w:hAnsi="Times New Roman" w:eastAsia="方正仿宋_GBK"/>
          <w:b w:val="0"/>
          <w:bCs w:val="0"/>
          <w:sz w:val="32"/>
          <w:szCs w:val="32"/>
          <w:shd w:val="clear" w:color="auto" w:fill="FFFFFF"/>
        </w:rPr>
        <w:t>62</w:t>
      </w:r>
      <w:r>
        <w:rPr>
          <w:rFonts w:hint="eastAsia" w:ascii="方正仿宋_GBK" w:hAnsi="方正仿宋_GBK" w:eastAsia="方正仿宋_GBK" w:cs="方正仿宋_GBK"/>
          <w:b w:val="0"/>
          <w:bCs w:val="0"/>
          <w:sz w:val="32"/>
          <w:szCs w:val="32"/>
          <w:shd w:val="clear" w:color="auto" w:fill="FFFFFF"/>
        </w:rPr>
        <w:t>项，涉及资金</w:t>
      </w:r>
      <w:r>
        <w:rPr>
          <w:rFonts w:hint="eastAsia" w:ascii="Times New Roman" w:hAnsi="Times New Roman" w:eastAsia="方正仿宋_GBK"/>
          <w:b w:val="0"/>
          <w:bCs w:val="0"/>
          <w:sz w:val="32"/>
          <w:szCs w:val="32"/>
          <w:shd w:val="clear" w:color="auto" w:fill="FFFFFF"/>
        </w:rPr>
        <w:t>1483.55</w:t>
      </w:r>
      <w:r>
        <w:rPr>
          <w:rFonts w:hint="eastAsia" w:ascii="方正仿宋_GBK" w:hAnsi="方正仿宋_GBK" w:eastAsia="方正仿宋_GBK" w:cs="方正仿宋_GBK"/>
          <w:b w:val="0"/>
          <w:bCs w:val="0"/>
          <w:sz w:val="32"/>
          <w:szCs w:val="32"/>
          <w:shd w:val="clear" w:color="auto" w:fill="FFFFFF"/>
        </w:rPr>
        <w:t>万元；以委托第三方出具报告的方式开展绩效评价</w:t>
      </w:r>
      <w:r>
        <w:rPr>
          <w:rFonts w:ascii="Times New Roman" w:hAnsi="Times New Roman" w:eastAsia="方正仿宋_GBK"/>
          <w:b w:val="0"/>
          <w:bCs w:val="0"/>
          <w:sz w:val="32"/>
          <w:szCs w:val="32"/>
          <w:shd w:val="clear" w:color="auto" w:fill="FFFFFF"/>
        </w:rPr>
        <w:t>0</w:t>
      </w:r>
      <w:r>
        <w:rPr>
          <w:rFonts w:hint="eastAsia" w:ascii="方正仿宋_GBK" w:hAnsi="方正仿宋_GBK" w:eastAsia="方正仿宋_GBK" w:cs="方正仿宋_GBK"/>
          <w:b w:val="0"/>
          <w:bCs w:val="0"/>
          <w:sz w:val="32"/>
          <w:szCs w:val="32"/>
          <w:shd w:val="clear" w:color="auto" w:fill="FFFFFF"/>
        </w:rPr>
        <w:t>项，涉及资金</w:t>
      </w:r>
      <w:r>
        <w:rPr>
          <w:rFonts w:ascii="Times New Roman" w:hAnsi="Times New Roman" w:eastAsia="方正仿宋_GBK"/>
          <w:b w:val="0"/>
          <w:bCs w:val="0"/>
          <w:sz w:val="32"/>
          <w:szCs w:val="32"/>
          <w:shd w:val="clear" w:color="auto" w:fill="FFFFFF"/>
        </w:rPr>
        <w:t>0</w:t>
      </w:r>
      <w:r>
        <w:rPr>
          <w:rFonts w:hint="eastAsia" w:ascii="方正仿宋_GBK" w:hAnsi="方正仿宋_GBK" w:eastAsia="方正仿宋_GBK" w:cs="方正仿宋_GBK"/>
          <w:b w:val="0"/>
          <w:bCs w:val="0"/>
          <w:sz w:val="32"/>
          <w:szCs w:val="32"/>
          <w:shd w:val="clear" w:color="auto" w:fill="FFFFFF"/>
        </w:rPr>
        <w:t>万元。</w:t>
      </w:r>
    </w:p>
    <w:p>
      <w:pPr>
        <w:pStyle w:val="12"/>
        <w:spacing w:before="0" w:beforeAutospacing="0" w:after="0" w:afterAutospacing="0"/>
        <w:ind w:firstLine="640" w:firstLineChars="200"/>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部门整体绩效自评表（见附件1）</w:t>
      </w:r>
    </w:p>
    <w:p>
      <w:pPr>
        <w:pStyle w:val="12"/>
        <w:spacing w:before="0" w:beforeAutospacing="0" w:after="0" w:afterAutospacing="0"/>
        <w:ind w:firstLine="640" w:firstLineChars="200"/>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项目支出绩效自评表（见附件2）</w:t>
      </w:r>
    </w:p>
    <w:p>
      <w:pPr>
        <w:pStyle w:val="12"/>
        <w:spacing w:before="0" w:beforeAutospacing="0" w:after="0" w:afterAutospacing="0"/>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（二）部门绩效评价情况</w:t>
      </w:r>
    </w:p>
    <w:p>
      <w:pPr>
        <w:pStyle w:val="16"/>
        <w:autoSpaceDE w:val="0"/>
        <w:ind w:firstLine="960" w:firstLineChars="300"/>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我单位未组织开展绩效评价。</w:t>
      </w:r>
    </w:p>
    <w:p>
      <w:pPr>
        <w:pStyle w:val="14"/>
        <w:autoSpaceDE w:val="0"/>
        <w:spacing w:line="596" w:lineRule="exact"/>
        <w:ind w:firstLine="643"/>
        <w:rPr>
          <w:rFonts w:hint="default" w:ascii="方正仿宋_GBK" w:hAnsi="方正仿宋_GBK" w:eastAsia="方正仿宋_GBK" w:cs="方正仿宋_GBK"/>
          <w:b w:val="0"/>
          <w:bCs w:val="0"/>
          <w:sz w:val="32"/>
          <w:szCs w:val="32"/>
          <w:shd w:val="clear" w:color="auto" w:fill="FFFFFF"/>
        </w:rPr>
      </w:pPr>
      <w:r>
        <w:rPr>
          <w:rFonts w:ascii="楷体" w:hAnsi="楷体" w:eastAsia="楷体" w:cs="楷体"/>
          <w:b w:val="0"/>
          <w:bCs w:val="0"/>
          <w:sz w:val="32"/>
          <w:szCs w:val="32"/>
          <w:shd w:val="clear" w:color="auto" w:fill="FFFFFF"/>
        </w:rPr>
        <w:t>（三）财政绩效评价情况</w:t>
      </w:r>
    </w:p>
    <w:p>
      <w:pPr>
        <w:pStyle w:val="16"/>
        <w:autoSpaceDE w:val="0"/>
        <w:ind w:firstLine="960" w:firstLineChars="300"/>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县财政局未委托第三方对我单位开展绩效评价。</w:t>
      </w:r>
    </w:p>
    <w:p>
      <w:pPr>
        <w:pStyle w:val="12"/>
        <w:autoSpaceDE w:val="0"/>
        <w:spacing w:before="0" w:beforeAutospacing="0" w:after="0" w:afterAutospacing="0" w:line="596" w:lineRule="exact"/>
        <w:rPr>
          <w:rFonts w:ascii="方正仿宋_GBK" w:hAnsi="方正仿宋_GBK" w:eastAsia="方正仿宋_GBK" w:cs="方正仿宋_GBK"/>
          <w:b w:val="0"/>
          <w:bCs w:val="0"/>
          <w:sz w:val="32"/>
          <w:szCs w:val="32"/>
        </w:rPr>
      </w:pPr>
      <w:r>
        <w:rPr>
          <w:rStyle w:val="13"/>
          <w:rFonts w:hint="eastAsia" w:ascii="方正仿宋_GBK" w:hAnsi="方正仿宋_GBK" w:eastAsia="方正仿宋_GBK" w:cs="方正仿宋_GBK"/>
          <w:b w:val="0"/>
          <w:bCs w:val="0"/>
          <w:sz w:val="32"/>
          <w:szCs w:val="32"/>
          <w:shd w:val="clear" w:color="auto" w:fill="FFFFFF"/>
        </w:rPr>
        <w:t xml:space="preserve">   </w:t>
      </w:r>
      <w:r>
        <w:rPr>
          <w:rStyle w:val="10"/>
          <w:rFonts w:hint="eastAsia" w:ascii="黑体" w:hAnsi="黑体" w:eastAsia="黑体" w:cs="黑体"/>
          <w:b w:val="0"/>
          <w:bCs w:val="0"/>
          <w:sz w:val="32"/>
          <w:szCs w:val="32"/>
          <w:shd w:val="clear" w:color="auto" w:fill="FFFFFF"/>
        </w:rPr>
        <w:t xml:space="preserve"> 六、专业名词解释</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（一）财政拨款收入：</w:t>
      </w:r>
      <w:r>
        <w:rPr>
          <w:rFonts w:hint="eastAsia" w:ascii="方正仿宋_GBK" w:hAnsi="方正仿宋_GBK" w:eastAsia="方正仿宋_GBK" w:cs="方正仿宋_GBK"/>
          <w:b w:val="0"/>
          <w:bCs w:val="0"/>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（二）事业收入：</w:t>
      </w:r>
      <w:r>
        <w:rPr>
          <w:rFonts w:hint="eastAsia" w:ascii="方正仿宋_GBK" w:hAnsi="方正仿宋_GBK" w:eastAsia="方正仿宋_GBK" w:cs="方正仿宋_GBK"/>
          <w:b w:val="0"/>
          <w:bCs w:val="0"/>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（三）经营收入：</w:t>
      </w:r>
      <w:r>
        <w:rPr>
          <w:rFonts w:hint="eastAsia" w:ascii="方正仿宋_GBK" w:hAnsi="方正仿宋_GBK" w:eastAsia="方正仿宋_GBK" w:cs="方正仿宋_GBK"/>
          <w:b w:val="0"/>
          <w:bCs w:val="0"/>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（四）其他收入：</w:t>
      </w:r>
      <w:r>
        <w:rPr>
          <w:rFonts w:hint="eastAsia" w:ascii="方正仿宋_GBK" w:hAnsi="方正仿宋_GBK" w:eastAsia="方正仿宋_GBK" w:cs="方正仿宋_GBK"/>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（五）使用非财政拨款结余：</w:t>
      </w:r>
      <w:r>
        <w:rPr>
          <w:rFonts w:hint="eastAsia" w:ascii="方正仿宋_GBK" w:hAnsi="方正仿宋_GBK" w:eastAsia="方正仿宋_GBK" w:cs="方正仿宋_GBK"/>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（六）年初结转和结余：</w:t>
      </w:r>
      <w:r>
        <w:rPr>
          <w:rFonts w:hint="eastAsia" w:ascii="方正仿宋_GBK" w:hAnsi="方正仿宋_GBK" w:eastAsia="方正仿宋_GBK" w:cs="方正仿宋_GBK"/>
          <w:b w:val="0"/>
          <w:bCs w:val="0"/>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（七）结余分配：</w:t>
      </w:r>
      <w:r>
        <w:rPr>
          <w:rFonts w:hint="eastAsia" w:ascii="方正仿宋_GBK" w:hAnsi="方正仿宋_GBK" w:eastAsia="方正仿宋_GBK" w:cs="方正仿宋_GBK"/>
          <w:b w:val="0"/>
          <w:bCs w:val="0"/>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（八）年末结转和结余：</w:t>
      </w:r>
      <w:r>
        <w:rPr>
          <w:rFonts w:hint="eastAsia" w:ascii="方正仿宋_GBK" w:hAnsi="方正仿宋_GBK" w:eastAsia="方正仿宋_GBK" w:cs="方正仿宋_GBK"/>
          <w:b w:val="0"/>
          <w:bCs w:val="0"/>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（九）基本支出：</w:t>
      </w:r>
      <w:r>
        <w:rPr>
          <w:rFonts w:hint="eastAsia" w:ascii="方正仿宋_GBK" w:hAnsi="方正仿宋_GBK"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（十）项目支出：</w:t>
      </w:r>
      <w:r>
        <w:rPr>
          <w:rFonts w:hint="eastAsia" w:ascii="方正仿宋_GBK" w:hAnsi="方正仿宋_GBK" w:eastAsia="方正仿宋_GBK" w:cs="方正仿宋_GBK"/>
          <w:b w:val="0"/>
          <w:bCs w:val="0"/>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（十一）经营支出：</w:t>
      </w:r>
      <w:r>
        <w:rPr>
          <w:rFonts w:hint="eastAsia" w:ascii="方正仿宋_GBK" w:hAnsi="方正仿宋_GBK" w:eastAsia="方正仿宋_GBK" w:cs="方正仿宋_GBK"/>
          <w:b w:val="0"/>
          <w:bCs w:val="0"/>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（十二）“三公”经费：</w:t>
      </w:r>
      <w:r>
        <w:rPr>
          <w:rFonts w:hint="eastAsia" w:ascii="方正仿宋_GBK" w:hAnsi="方正仿宋_GBK" w:eastAsia="方正仿宋_GBK" w:cs="方正仿宋_GBK"/>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（十三）机关运行经费：</w:t>
      </w:r>
      <w:r>
        <w:rPr>
          <w:rFonts w:hint="eastAsia" w:ascii="方正仿宋_GBK" w:hAnsi="方正仿宋_GBK" w:eastAsia="方正仿宋_GBK" w:cs="方正仿宋_GBK"/>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（十四）工资福利支出（支出经济分类科目类级）：</w:t>
      </w:r>
      <w:r>
        <w:rPr>
          <w:rFonts w:hint="eastAsia" w:ascii="方正仿宋_GBK" w:hAnsi="方正仿宋_GBK" w:eastAsia="方正仿宋_GBK" w:cs="方正仿宋_GBK"/>
          <w:b w:val="0"/>
          <w:bCs w:val="0"/>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（十五）商品和服务支出（支出经济分类科目类级）：</w:t>
      </w:r>
      <w:r>
        <w:rPr>
          <w:rFonts w:hint="eastAsia" w:ascii="方正仿宋_GBK" w:hAnsi="方正仿宋_GBK" w:eastAsia="方正仿宋_GBK" w:cs="方正仿宋_GBK"/>
          <w:b w:val="0"/>
          <w:bCs w:val="0"/>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（十六）对个人和家庭的补助（支出经济分类科目类级）：</w:t>
      </w:r>
      <w:r>
        <w:rPr>
          <w:rFonts w:hint="eastAsia" w:ascii="方正仿宋_GBK" w:hAnsi="方正仿宋_GBK" w:eastAsia="方正仿宋_GBK" w:cs="方正仿宋_GBK"/>
          <w:b w:val="0"/>
          <w:bCs w:val="0"/>
          <w:sz w:val="32"/>
          <w:szCs w:val="32"/>
          <w:shd w:val="clear" w:color="auto" w:fill="FFFFFF"/>
        </w:rPr>
        <w:t>反映用于对个人和家庭的补助支出。</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（十七）其他资本性支出（支出经济分类科目类级）：</w:t>
      </w:r>
      <w:r>
        <w:rPr>
          <w:rFonts w:hint="eastAsia" w:ascii="方正仿宋_GBK" w:hAnsi="方正仿宋_GBK" w:eastAsia="方正仿宋_GBK" w:cs="方正仿宋_GBK"/>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黑体" w:hAnsi="黑体" w:eastAsia="黑体" w:cs="黑体"/>
          <w:b w:val="0"/>
          <w:bCs w:val="0"/>
          <w:sz w:val="32"/>
          <w:szCs w:val="32"/>
          <w:shd w:val="clear" w:color="auto" w:fill="FFFFFF"/>
        </w:rPr>
        <w:t>七、决算公开联系方式及信息反馈渠道</w:t>
      </w:r>
    </w:p>
    <w:p>
      <w:pPr>
        <w:pStyle w:val="12"/>
        <w:spacing w:before="0" w:beforeAutospacing="0" w:after="0" w:afterAutospacing="0" w:line="596" w:lineRule="exact"/>
        <w:rPr>
          <w:rFonts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本单位决算公开信息反馈和联系方式：</w:t>
      </w:r>
    </w:p>
    <w:p>
      <w:pPr>
        <w:pStyle w:val="12"/>
        <w:spacing w:before="0" w:beforeAutospacing="0" w:after="0" w:afterAutospacing="0" w:line="596" w:lineRule="exact"/>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 xml:space="preserve"> 023-51653035</w:t>
      </w:r>
    </w:p>
    <w:p>
      <w:pPr>
        <w:pStyle w:val="12"/>
        <w:spacing w:before="0" w:beforeAutospacing="0" w:after="0" w:afterAutospacing="0"/>
        <w:rPr>
          <w:rFonts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 xml:space="preserve">      </w:t>
      </w:r>
    </w:p>
    <w:p>
      <w:pPr>
        <w:pStyle w:val="12"/>
        <w:spacing w:before="0" w:beforeAutospacing="0" w:after="0" w:afterAutospacing="0"/>
        <w:rPr>
          <w:rFonts w:hint="eastAsia"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hint="eastAsia"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hint="eastAsia"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hint="eastAsia"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hint="eastAsia"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附件1</w:t>
      </w:r>
    </w:p>
    <w:p>
      <w:pPr>
        <w:pStyle w:val="12"/>
        <w:spacing w:before="0" w:beforeAutospacing="0" w:after="0" w:afterAutospacing="0"/>
        <w:rPr>
          <w:rFonts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object>
          <v:shape id="_x0000_i1025" o:spt="75" type="#_x0000_t75" style="height:607pt;width:411.9pt;" o:ole="t" filled="t" o:preferrelative="t" stroked="f" coordsize="21600,21600">
            <v:path/>
            <v:fill on="t" focussize="0,0"/>
            <v:stroke on="f" joinstyle="miter"/>
            <v:imagedata r:id="rId8" o:title=""/>
            <o:lock v:ext="edit" aspectratio="t"/>
            <w10:wrap type="none"/>
            <w10:anchorlock/>
          </v:shape>
          <o:OLEObject Type="Embed" ProgID="Office12.Excel.Template" ShapeID="_x0000_i1025" DrawAspect="Content" ObjectID="_1468075725" r:id="rId7">
            <o:LockedField>false</o:LockedField>
          </o:OLEObject>
        </w:object>
      </w:r>
    </w:p>
    <w:p>
      <w:pPr>
        <w:rPr>
          <w:rFonts w:hint="default" w:ascii="方正仿宋_GBK" w:hAnsi="方正仿宋_GBK" w:eastAsia="方正仿宋_GBK" w:cs="方正仿宋_GBK"/>
          <w:b w:val="0"/>
          <w:bCs w:val="0"/>
          <w:sz w:val="32"/>
          <w:szCs w:val="32"/>
          <w:shd w:val="clear" w:color="auto" w:fill="FFFFFF"/>
        </w:rPr>
      </w:pPr>
    </w:p>
    <w:p>
      <w:pPr>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附件2</w:t>
      </w:r>
    </w:p>
    <w:p>
      <w:pPr>
        <w:pStyle w:val="12"/>
        <w:spacing w:before="0" w:beforeAutospacing="0" w:after="0" w:afterAutospacing="0"/>
        <w:rPr>
          <w:rFonts w:ascii="方正仿宋_GBK" w:hAnsi="方正仿宋_GBK" w:eastAsia="方正仿宋_GBK" w:cs="方正仿宋_GBK"/>
          <w:b w:val="0"/>
          <w:bCs w:val="0"/>
          <w:sz w:val="30"/>
          <w:szCs w:val="30"/>
          <w:shd w:val="clear" w:color="auto" w:fill="FFFFFF"/>
        </w:rPr>
      </w:pPr>
      <w:r>
        <w:rPr>
          <w:rFonts w:hint="eastAsia" w:ascii="方正仿宋_GBK" w:hAnsi="方正仿宋_GBK" w:eastAsia="方正仿宋_GBK" w:cs="方正仿宋_GBK"/>
          <w:b w:val="0"/>
          <w:bCs w:val="0"/>
          <w:sz w:val="30"/>
          <w:szCs w:val="30"/>
          <w:shd w:val="clear" w:color="auto" w:fill="FFFFFF"/>
        </w:rPr>
        <w:object>
          <v:shape id="_x0000_i1026" o:spt="75" type="#_x0000_t75" style="height:622.05pt;width:432pt;" o:ole="t" filled="f" o:preferrelative="t" stroked="f" coordsize="21600,21600">
            <v:path/>
            <v:fill on="f" focussize="0,0"/>
            <v:stroke on="f" joinstyle="miter"/>
            <v:imagedata r:id="rId9" o:title=""/>
            <o:lock v:ext="edit" aspectratio="t"/>
            <w10:wrap type="none"/>
            <w10:anchorlock/>
          </v:shape>
          <o:OLEObject Type="Embed" ProgID="Office12.wks.Sheet.8" ShapeID="_x0000_i1026" DrawAspect="Content" ObjectID="_1468075726">
            <o:LockedField>false</o:LockedField>
          </o:OLEObject>
        </w:object>
      </w:r>
    </w:p>
    <w:p>
      <w:pPr>
        <w:rPr>
          <w:rFonts w:hint="default" w:ascii="方正仿宋_GBK" w:hAnsi="方正仿宋_GBK" w:eastAsia="方正仿宋_GBK" w:cs="方正仿宋_GBK"/>
          <w:b w:val="0"/>
          <w:bCs w:val="0"/>
          <w:sz w:val="30"/>
          <w:szCs w:val="30"/>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12"/>
        <w:spacing w:before="0" w:beforeAutospacing="0" w:after="0" w:afterAutospacing="0"/>
        <w:rPr>
          <w:rFonts w:ascii="方正仿宋_GBK" w:hAnsi="方正仿宋_GBK" w:eastAsia="方正仿宋_GBK" w:cs="方正仿宋_GBK"/>
          <w:b w:val="0"/>
          <w:bCs w:val="0"/>
          <w:sz w:val="32"/>
          <w:szCs w:val="32"/>
          <w:shd w:val="clear" w:color="auto" w:fill="FFFFFF"/>
        </w:rPr>
      </w:pPr>
    </w:p>
    <w:p>
      <w:pPr>
        <w:pStyle w:val="7"/>
        <w:snapToGrid w:val="0"/>
        <w:spacing w:before="0" w:beforeAutospacing="0" w:after="0" w:afterAutospacing="0" w:line="596" w:lineRule="exact"/>
        <w:jc w:val="both"/>
        <w:rPr>
          <w:rFonts w:hint="default" w:ascii="方正仿宋_GBK" w:hAnsi="方正仿宋_GBK" w:eastAsia="方正仿宋_GBK" w:cs="方正仿宋_GBK"/>
          <w:b w:val="0"/>
          <w:bCs w:val="0"/>
          <w:color w:val="FF0000"/>
          <w:sz w:val="32"/>
          <w:szCs w:val="32"/>
          <w:shd w:val="clear" w:color="auto" w:fill="FFFFFF"/>
        </w:rPr>
      </w:pPr>
    </w:p>
    <w:tbl>
      <w:tblPr>
        <w:tblStyle w:val="8"/>
        <w:tblW w:w="19207" w:type="dxa"/>
        <w:jc w:val="center"/>
        <w:tblLayout w:type="fixed"/>
        <w:tblCellMar>
          <w:top w:w="0" w:type="dxa"/>
          <w:left w:w="108" w:type="dxa"/>
          <w:bottom w:w="0" w:type="dxa"/>
          <w:right w:w="108" w:type="dxa"/>
        </w:tblCellMar>
      </w:tblPr>
      <w:tblGrid>
        <w:gridCol w:w="4377"/>
        <w:gridCol w:w="850"/>
        <w:gridCol w:w="4436"/>
        <w:gridCol w:w="4433"/>
        <w:gridCol w:w="767"/>
        <w:gridCol w:w="4344"/>
      </w:tblGrid>
      <w:tr>
        <w:tblPrEx>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jc w:val="center"/>
              <w:textAlignment w:val="bottom"/>
              <w:rPr>
                <w:rFonts w:hint="default" w:cs="宋体"/>
                <w:b w:val="0"/>
                <w:bCs w:val="0"/>
                <w:color w:val="000000"/>
                <w:sz w:val="30"/>
                <w:szCs w:val="30"/>
              </w:rPr>
            </w:pPr>
            <w:r>
              <w:rPr>
                <w:rFonts w:cs="宋体"/>
                <w:b w:val="0"/>
                <w:bCs w:val="0"/>
                <w:color w:val="000000"/>
                <w:sz w:val="30"/>
                <w:szCs w:val="30"/>
              </w:rPr>
              <w:t>收入支出决算表</w:t>
            </w:r>
          </w:p>
        </w:tc>
      </w:tr>
      <w:tr>
        <w:tblPrEx>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cs="Arial"/>
                <w:b w:val="0"/>
                <w:bCs w:val="0"/>
                <w:color w:val="000000"/>
                <w:sz w:val="20"/>
                <w:szCs w:val="20"/>
              </w:rPr>
            </w:pPr>
            <w:r>
              <w:rPr>
                <w:rFonts w:cs="宋体"/>
                <w:b w:val="0"/>
                <w:bCs w:val="0"/>
                <w:sz w:val="20"/>
                <w:szCs w:val="20"/>
              </w:rPr>
              <w:t>部门：</w:t>
            </w:r>
            <w:r>
              <w:rPr>
                <w:b w:val="0"/>
                <w:bCs w:val="0"/>
                <w:sz w:val="20"/>
              </w:rPr>
              <w:t>巫溪县塘坊镇人民政府（本级）</w:t>
            </w:r>
          </w:p>
        </w:tc>
        <w:tc>
          <w:tcPr>
            <w:tcW w:w="4344"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01表</w:t>
            </w:r>
          </w:p>
        </w:tc>
      </w:tr>
      <w:tr>
        <w:tblPrEx>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cs="Arial"/>
                <w:b w:val="0"/>
                <w:bCs w:val="0"/>
                <w:color w:val="000000"/>
                <w:sz w:val="20"/>
                <w:szCs w:val="20"/>
              </w:rPr>
            </w:pPr>
          </w:p>
        </w:tc>
        <w:tc>
          <w:tcPr>
            <w:tcW w:w="4344"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单位：万元</w:t>
            </w:r>
          </w:p>
        </w:tc>
      </w:tr>
      <w:tr>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支出</w:t>
            </w:r>
          </w:p>
        </w:tc>
      </w:tr>
      <w:tr>
        <w:tblPrEx>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项目</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行次</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金额</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项目</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行次</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金额</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栏次</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栏次</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2,219.29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31</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492.18 </w:t>
            </w:r>
          </w:p>
        </w:tc>
      </w:tr>
      <w:tr>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二、外交支出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32</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三、国防支出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33</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34</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五、事业收入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五、教育支出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35</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六、经营收入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6</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36</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7</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37</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八、其他收入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8</w:t>
            </w:r>
          </w:p>
        </w:tc>
        <w:tc>
          <w:tcPr>
            <w:tcW w:w="4436" w:type="dxa"/>
            <w:tcBorders>
              <w:top w:val="nil"/>
              <w:left w:val="nil"/>
              <w:bottom w:val="nil"/>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38</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189.86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39</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34.51 </w:t>
            </w:r>
          </w:p>
        </w:tc>
      </w:tr>
      <w:tr>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40</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49.84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41</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42</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1,230.19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43</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107.03 </w:t>
            </w:r>
          </w:p>
        </w:tc>
      </w:tr>
      <w:tr>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14</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44</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15</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45</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16</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十六、金融支出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46</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17</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47</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18</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48</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19</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49</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83.69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20</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50</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21</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51</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22</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52</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31.99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23</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53</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24</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54</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25</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55</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26</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56</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本年收入合计</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27</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2,219.29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本年支出合计</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57</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2,219.29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28</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结余分配</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58</w:t>
            </w:r>
          </w:p>
        </w:tc>
        <w:tc>
          <w:tcPr>
            <w:tcW w:w="4344" w:type="dxa"/>
            <w:tcBorders>
              <w:top w:val="nil"/>
              <w:left w:val="nil"/>
              <w:bottom w:val="single" w:color="auto"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29</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年末结转和结余</w:t>
            </w:r>
          </w:p>
        </w:tc>
        <w:tc>
          <w:tcPr>
            <w:tcW w:w="767" w:type="dxa"/>
            <w:tcBorders>
              <w:top w:val="nil"/>
              <w:left w:val="nil"/>
              <w:bottom w:val="single" w:color="000000" w:sz="4" w:space="0"/>
              <w:right w:val="single" w:color="auto"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总计</w:t>
            </w: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2,219.29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总计</w:t>
            </w:r>
          </w:p>
        </w:tc>
        <w:tc>
          <w:tcPr>
            <w:tcW w:w="767" w:type="dxa"/>
            <w:tcBorders>
              <w:top w:val="nil"/>
              <w:left w:val="nil"/>
              <w:bottom w:val="single" w:color="000000" w:sz="4" w:space="0"/>
              <w:right w:val="single" w:color="auto"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60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2,219.29</w:t>
            </w:r>
          </w:p>
        </w:tc>
      </w:tr>
    </w:tbl>
    <w:p>
      <w:pPr>
        <w:pStyle w:val="11"/>
        <w:autoSpaceDE w:val="0"/>
        <w:ind w:firstLine="0" w:firstLineChars="0"/>
        <w:rPr>
          <w:rFonts w:cs="宋体"/>
          <w:b w:val="0"/>
          <w:bCs w:val="0"/>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autoSpaceDE w:val="0"/>
        <w:ind w:firstLine="0" w:firstLineChars="0"/>
        <w:rPr>
          <w:rFonts w:cs="宋体"/>
          <w:b w:val="0"/>
          <w:bCs w:val="0"/>
          <w:sz w:val="21"/>
          <w:szCs w:val="21"/>
        </w:rPr>
      </w:pPr>
    </w:p>
    <w:tbl>
      <w:tblPr>
        <w:tblStyle w:val="8"/>
        <w:tblW w:w="22443" w:type="dxa"/>
        <w:tblInd w:w="93" w:type="dxa"/>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jc w:val="center"/>
              <w:textAlignment w:val="bottom"/>
              <w:rPr>
                <w:rFonts w:hint="default" w:cs="宋体"/>
                <w:b w:val="0"/>
                <w:bCs w:val="0"/>
                <w:color w:val="000000"/>
                <w:sz w:val="30"/>
                <w:szCs w:val="30"/>
              </w:rPr>
            </w:pPr>
            <w:r>
              <w:rPr>
                <w:rFonts w:cs="宋体"/>
                <w:b w:val="0"/>
                <w:bCs w:val="0"/>
                <w:color w:val="000000"/>
                <w:sz w:val="30"/>
                <w:szCs w:val="30"/>
              </w:rPr>
              <w:t>收入决算表</w:t>
            </w:r>
          </w:p>
        </w:tc>
      </w:tr>
      <w:tr>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cs="Arial"/>
                <w:b w:val="0"/>
                <w:bCs w:val="0"/>
                <w:color w:val="000000"/>
                <w:sz w:val="20"/>
                <w:szCs w:val="20"/>
              </w:rPr>
            </w:pPr>
            <w:r>
              <w:rPr>
                <w:rFonts w:cs="宋体"/>
                <w:b w:val="0"/>
                <w:bCs w:val="0"/>
                <w:sz w:val="21"/>
                <w:szCs w:val="21"/>
              </w:rPr>
              <w:t>部门</w:t>
            </w:r>
            <w:r>
              <w:rPr>
                <w:rFonts w:cs="宋体"/>
                <w:b w:val="0"/>
                <w:bCs w:val="0"/>
                <w:sz w:val="20"/>
                <w:szCs w:val="20"/>
              </w:rPr>
              <w:t>：</w:t>
            </w:r>
            <w:r>
              <w:rPr>
                <w:b w:val="0"/>
                <w:bCs w:val="0"/>
                <w:sz w:val="20"/>
              </w:rPr>
              <w:t>巫溪县塘坊镇人民政府（本级）</w:t>
            </w:r>
          </w:p>
        </w:tc>
        <w:tc>
          <w:tcPr>
            <w:tcW w:w="2408" w:type="dxa"/>
            <w:tcBorders>
              <w:top w:val="nil"/>
              <w:left w:val="nil"/>
              <w:right w:val="nil"/>
            </w:tcBorders>
            <w:shd w:val="clear" w:color="auto" w:fill="auto"/>
            <w:vAlign w:val="bottom"/>
          </w:tcPr>
          <w:p>
            <w:pPr>
              <w:jc w:val="right"/>
              <w:textAlignment w:val="bottom"/>
              <w:rPr>
                <w:rFonts w:hint="default" w:ascii="Arial" w:hAnsi="Arial" w:cs="Arial"/>
                <w:b w:val="0"/>
                <w:bCs w:val="0"/>
                <w:color w:val="000000"/>
                <w:sz w:val="20"/>
                <w:szCs w:val="20"/>
              </w:rPr>
            </w:pPr>
            <w:r>
              <w:rPr>
                <w:rFonts w:cs="宋体"/>
                <w:b w:val="0"/>
                <w:bCs w:val="0"/>
                <w:color w:val="000000"/>
                <w:sz w:val="20"/>
                <w:szCs w:val="20"/>
              </w:rPr>
              <w:t>02表</w:t>
            </w:r>
          </w:p>
          <w:p>
            <w:pPr>
              <w:jc w:val="right"/>
              <w:textAlignment w:val="bottom"/>
              <w:rPr>
                <w:rFonts w:hint="default" w:cs="宋体"/>
                <w:b w:val="0"/>
                <w:bCs w:val="0"/>
                <w:color w:val="000000"/>
                <w:sz w:val="20"/>
                <w:szCs w:val="20"/>
              </w:rPr>
            </w:pPr>
            <w:r>
              <w:rPr>
                <w:rFonts w:cs="宋体"/>
                <w:b w:val="0"/>
                <w:bCs w:val="0"/>
                <w:color w:val="000000"/>
                <w:sz w:val="20"/>
                <w:szCs w:val="20"/>
              </w:rPr>
              <w:t>单位：万元</w:t>
            </w:r>
          </w:p>
        </w:tc>
      </w:tr>
      <w:tr>
        <w:tblPrEx>
          <w:tblCellMar>
            <w:top w:w="0" w:type="dxa"/>
            <w:left w:w="108" w:type="dxa"/>
            <w:bottom w:w="0" w:type="dxa"/>
            <w:right w:w="108" w:type="dxa"/>
          </w:tblCellMar>
        </w:tblPrEx>
        <w:trPr>
          <w:trHeight w:val="312"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其他收入</w:t>
            </w:r>
          </w:p>
        </w:tc>
      </w:tr>
      <w:tr>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r>
      <w:tr>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r>
      <w:tr>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r>
      <w:tr>
        <w:tblPrEx>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项</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7</w:t>
            </w:r>
          </w:p>
        </w:tc>
      </w:tr>
      <w:tr>
        <w:tblPrEx>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2,219.29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2,219.29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492.18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492.18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478.36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478.36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463.24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463.24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15.13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15.13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2013299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其他组织事务支出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189.86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189.86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18.38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18.38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18.38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18.38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134.76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134.76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47.19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47.19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55.22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55.22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30.72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30.72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30.72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30.72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21101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2110199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28.34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28.34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28.34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28.34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21105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2110501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1,230.19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1,230.19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105.63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105.63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24.45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24.45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2130119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防灾救灾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24.07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24.07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2130135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43.80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43.80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2130335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829.77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829.77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217.30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217.30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408.12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408.12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204.35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204.35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289.80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289.80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2130701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23.82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23.82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265.97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265.97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83.69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83.69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22101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36.88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36.88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2210103</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棚户区改造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31.13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31.13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2210105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31.99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31.99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19.95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19.95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2240199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19.95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19.95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2240699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其他自然灾害防治支出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2240703</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bl>
    <w:p>
      <w:pPr>
        <w:rPr>
          <w:rFonts w:hint="default" w:cs="宋体"/>
          <w:b w:val="0"/>
          <w:bCs w:val="0"/>
          <w:sz w:val="21"/>
          <w:szCs w:val="21"/>
        </w:rPr>
      </w:pPr>
      <w:r>
        <w:rPr>
          <w:rFonts w:cs="宋体"/>
          <w:b w:val="0"/>
          <w:bCs w:val="0"/>
          <w:sz w:val="21"/>
          <w:szCs w:val="21"/>
        </w:rPr>
        <w:br w:type="page"/>
      </w:r>
    </w:p>
    <w:tbl>
      <w:tblPr>
        <w:tblStyle w:val="8"/>
        <w:tblW w:w="22443" w:type="dxa"/>
        <w:tblInd w:w="93" w:type="dxa"/>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jc w:val="center"/>
              <w:textAlignment w:val="bottom"/>
              <w:rPr>
                <w:rFonts w:hint="default" w:cs="宋体"/>
                <w:b w:val="0"/>
                <w:bCs w:val="0"/>
                <w:color w:val="000000"/>
                <w:sz w:val="30"/>
                <w:szCs w:val="30"/>
              </w:rPr>
            </w:pPr>
            <w:r>
              <w:rPr>
                <w:rFonts w:cs="宋体"/>
                <w:b w:val="0"/>
                <w:bCs w:val="0"/>
                <w:color w:val="000000"/>
                <w:sz w:val="30"/>
                <w:szCs w:val="30"/>
              </w:rPr>
              <w:t>支出决算表</w:t>
            </w:r>
          </w:p>
        </w:tc>
      </w:tr>
      <w:tr>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cs="Arial"/>
                <w:b w:val="0"/>
                <w:bCs w:val="0"/>
                <w:color w:val="000000"/>
                <w:sz w:val="20"/>
                <w:szCs w:val="20"/>
              </w:rPr>
            </w:pPr>
            <w:r>
              <w:rPr>
                <w:rFonts w:cs="宋体"/>
                <w:b w:val="0"/>
                <w:bCs w:val="0"/>
                <w:sz w:val="20"/>
                <w:szCs w:val="20"/>
              </w:rPr>
              <w:t>部门</w:t>
            </w:r>
            <w:r>
              <w:rPr>
                <w:rFonts w:cs="宋体"/>
                <w:b w:val="0"/>
                <w:bCs w:val="0"/>
                <w:color w:val="000000"/>
                <w:sz w:val="20"/>
                <w:szCs w:val="20"/>
              </w:rPr>
              <w:t>：</w:t>
            </w:r>
            <w:r>
              <w:rPr>
                <w:b w:val="0"/>
                <w:bCs w:val="0"/>
                <w:color w:val="000000"/>
                <w:sz w:val="20"/>
              </w:rPr>
              <w:t xml:space="preserve">巫溪县塘坊镇人民政府（本级） </w:t>
            </w:r>
          </w:p>
        </w:tc>
        <w:tc>
          <w:tcPr>
            <w:tcW w:w="2741"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03表</w:t>
            </w:r>
          </w:p>
        </w:tc>
      </w:tr>
      <w:tr>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cs="Arial"/>
                <w:b w:val="0"/>
                <w:bCs w:val="0"/>
                <w:color w:val="000000"/>
                <w:sz w:val="20"/>
                <w:szCs w:val="20"/>
              </w:rPr>
            </w:pPr>
          </w:p>
        </w:tc>
        <w:tc>
          <w:tcPr>
            <w:tcW w:w="2741"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单位：万元</w:t>
            </w:r>
          </w:p>
        </w:tc>
      </w:tr>
      <w:tr>
        <w:tblPrEx>
          <w:tblCellMar>
            <w:top w:w="0" w:type="dxa"/>
            <w:left w:w="108" w:type="dxa"/>
            <w:bottom w:w="0" w:type="dxa"/>
            <w:right w:w="108" w:type="dxa"/>
          </w:tblCellMar>
        </w:tblPrEx>
        <w:trPr>
          <w:trHeight w:val="312"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对附属单位补助支出</w:t>
            </w:r>
          </w:p>
        </w:tc>
      </w:tr>
      <w:tr>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r>
      <w:tr>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r>
      <w:tr>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r>
      <w:tr>
        <w:tblPrEx>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项</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6</w:t>
            </w:r>
          </w:p>
        </w:tc>
      </w:tr>
      <w:tr>
        <w:tblPrEx>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2,219.29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735.75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1,483.55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492.18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463.24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28.94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478.36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463.24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15.13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463.24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463.24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15.13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15.13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2013299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其他组织事务支出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189.86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165.48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24.38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18.38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18.38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18.38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18.38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134.76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134.76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55.22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55.22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30.72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30.72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30.72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30.72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21101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2110199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28.34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28.34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28.34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28.34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21105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2110501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1,230.19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1,204.49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105.63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105.63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24.45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24.45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2130119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防灾救灾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24.07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24.07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2130135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43.80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43.80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2130335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829.77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22.27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807.50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217.30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217.30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408.12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408.12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204.35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22.27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182.08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289.80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286.37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2130701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23.82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23.82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265.97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262.54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83.69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36.88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22101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36.88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36.88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2210103</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棚户区改造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31.13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31.13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2210105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31.99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31.99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2240199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2240699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其他自然灾害防治支出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2240703</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bl>
    <w:p>
      <w:pPr>
        <w:rPr>
          <w:rFonts w:hint="default" w:cs="宋体"/>
          <w:b w:val="0"/>
          <w:bCs w:val="0"/>
          <w:sz w:val="21"/>
          <w:szCs w:val="21"/>
        </w:rPr>
      </w:pPr>
      <w:r>
        <w:rPr>
          <w:rFonts w:cs="宋体"/>
          <w:b w:val="0"/>
          <w:bCs w:val="0"/>
          <w:sz w:val="21"/>
          <w:szCs w:val="21"/>
        </w:rPr>
        <w:br w:type="page"/>
      </w:r>
    </w:p>
    <w:tbl>
      <w:tblPr>
        <w:tblStyle w:val="8"/>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rPr>
          <w:trHeight w:val="390" w:hRule="atLeast"/>
          <w:jc w:val="center"/>
        </w:trPr>
        <w:tc>
          <w:tcPr>
            <w:tcW w:w="22398" w:type="dxa"/>
            <w:gridSpan w:val="9"/>
            <w:tcBorders>
              <w:top w:val="nil"/>
              <w:left w:val="nil"/>
              <w:bottom w:val="nil"/>
              <w:right w:val="nil"/>
            </w:tcBorders>
            <w:shd w:val="clear" w:color="auto" w:fill="auto"/>
            <w:vAlign w:val="bottom"/>
          </w:tcPr>
          <w:p>
            <w:pPr>
              <w:jc w:val="center"/>
              <w:textAlignment w:val="bottom"/>
              <w:rPr>
                <w:rFonts w:hint="default" w:cs="宋体"/>
                <w:b w:val="0"/>
                <w:bCs w:val="0"/>
                <w:color w:val="000000"/>
                <w:sz w:val="30"/>
                <w:szCs w:val="30"/>
              </w:rPr>
            </w:pPr>
            <w:r>
              <w:rPr>
                <w:rFonts w:cs="宋体"/>
                <w:b w:val="0"/>
                <w:bCs w:val="0"/>
                <w:color w:val="000000"/>
                <w:sz w:val="30"/>
                <w:szCs w:val="30"/>
              </w:rPr>
              <w:t>财政拨款收入支出决算表</w:t>
            </w:r>
          </w:p>
        </w:tc>
      </w:tr>
      <w:tr>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cs="Arial"/>
                <w:b w:val="0"/>
                <w:bCs w:val="0"/>
                <w:color w:val="000000"/>
                <w:sz w:val="20"/>
                <w:szCs w:val="20"/>
              </w:rPr>
            </w:pPr>
            <w:r>
              <w:rPr>
                <w:rFonts w:cs="宋体"/>
                <w:b w:val="0"/>
                <w:bCs w:val="0"/>
                <w:sz w:val="20"/>
                <w:szCs w:val="20"/>
              </w:rPr>
              <w:t>部门</w:t>
            </w:r>
            <w:r>
              <w:rPr>
                <w:rFonts w:cs="宋体"/>
                <w:b w:val="0"/>
                <w:bCs w:val="0"/>
                <w:color w:val="000000"/>
                <w:sz w:val="20"/>
                <w:szCs w:val="20"/>
              </w:rPr>
              <w:t>：</w:t>
            </w:r>
            <w:r>
              <w:rPr>
                <w:b w:val="0"/>
                <w:bCs w:val="0"/>
                <w:color w:val="000000"/>
                <w:sz w:val="20"/>
              </w:rPr>
              <w:t>巫溪县塘坊镇人民政府（本级）</w:t>
            </w:r>
          </w:p>
        </w:tc>
        <w:tc>
          <w:tcPr>
            <w:tcW w:w="2874"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04表</w:t>
            </w:r>
          </w:p>
        </w:tc>
      </w:tr>
      <w:tr>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cs="Arial"/>
                <w:b w:val="0"/>
                <w:bCs w:val="0"/>
                <w:color w:val="000000"/>
                <w:sz w:val="20"/>
                <w:szCs w:val="20"/>
              </w:rPr>
            </w:pPr>
          </w:p>
        </w:tc>
        <w:tc>
          <w:tcPr>
            <w:tcW w:w="2874"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单位：万元</w:t>
            </w:r>
          </w:p>
        </w:tc>
      </w:tr>
      <w:tr>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支     出</w:t>
            </w:r>
          </w:p>
        </w:tc>
      </w:tr>
      <w:tr>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国有资本经营预算财政拨款</w:t>
            </w:r>
          </w:p>
        </w:tc>
      </w:tr>
      <w:tr>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cs="宋体"/>
                <w:b w:val="0"/>
                <w:bCs w:val="0"/>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cs="宋体"/>
                <w:b w:val="0"/>
                <w:bCs w:val="0"/>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5</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2,219.29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492.18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492.18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189.86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189.86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34.51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34.51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49.84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49.84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1,230.19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1,230.19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107.03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107.03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83.69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83.69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31.99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31.99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2,219.29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2,219.29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2,219.29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b w:val="0"/>
                <w:bCs w:val="0"/>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b w:val="0"/>
                <w:bCs w:val="0"/>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b w:val="0"/>
                <w:bCs w:val="0"/>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b w:val="0"/>
                <w:bCs w:val="0"/>
                <w:color w:val="000000"/>
                <w:sz w:val="22"/>
                <w:szCs w:val="22"/>
              </w:rPr>
            </w:pP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r>
      <w:tr>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2,219.29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2,219.29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2,219.29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bl>
    <w:p>
      <w:pPr>
        <w:rPr>
          <w:rFonts w:hint="default" w:cs="宋体"/>
          <w:b w:val="0"/>
          <w:bCs w:val="0"/>
          <w:sz w:val="21"/>
          <w:szCs w:val="21"/>
        </w:rPr>
      </w:pPr>
      <w:r>
        <w:rPr>
          <w:rFonts w:cs="宋体"/>
          <w:b w:val="0"/>
          <w:bCs w:val="0"/>
          <w:sz w:val="21"/>
          <w:szCs w:val="21"/>
        </w:rPr>
        <w:br w:type="page"/>
      </w:r>
    </w:p>
    <w:tbl>
      <w:tblPr>
        <w:tblStyle w:val="8"/>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rPr>
          <w:trHeight w:val="523" w:hRule="atLeast"/>
        </w:trPr>
        <w:tc>
          <w:tcPr>
            <w:tcW w:w="23039" w:type="dxa"/>
            <w:gridSpan w:val="17"/>
            <w:tcBorders>
              <w:top w:val="nil"/>
              <w:left w:val="nil"/>
              <w:bottom w:val="nil"/>
              <w:right w:val="nil"/>
            </w:tcBorders>
            <w:shd w:val="clear" w:color="auto" w:fill="auto"/>
            <w:vAlign w:val="bottom"/>
          </w:tcPr>
          <w:p>
            <w:pPr>
              <w:jc w:val="center"/>
              <w:textAlignment w:val="bottom"/>
              <w:rPr>
                <w:rFonts w:hint="default" w:cs="宋体"/>
                <w:b w:val="0"/>
                <w:bCs w:val="0"/>
                <w:color w:val="000000"/>
                <w:sz w:val="30"/>
                <w:szCs w:val="30"/>
              </w:rPr>
            </w:pPr>
            <w:r>
              <w:rPr>
                <w:rFonts w:cs="宋体"/>
                <w:b w:val="0"/>
                <w:bCs w:val="0"/>
                <w:color w:val="000000"/>
                <w:sz w:val="30"/>
                <w:szCs w:val="30"/>
              </w:rPr>
              <w:t>一般公共预算财政拨款收入支出决算表</w:t>
            </w:r>
          </w:p>
        </w:tc>
      </w:tr>
      <w:tr>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cs="Arial"/>
                <w:b w:val="0"/>
                <w:bCs w:val="0"/>
                <w:color w:val="000000"/>
                <w:sz w:val="20"/>
                <w:szCs w:val="20"/>
              </w:rPr>
            </w:pPr>
            <w:r>
              <w:rPr>
                <w:rFonts w:cs="宋体"/>
                <w:b w:val="0"/>
                <w:bCs w:val="0"/>
                <w:sz w:val="20"/>
                <w:szCs w:val="20"/>
              </w:rPr>
              <w:t>部门</w:t>
            </w:r>
            <w:r>
              <w:rPr>
                <w:rFonts w:cs="宋体"/>
                <w:b w:val="0"/>
                <w:bCs w:val="0"/>
                <w:color w:val="000000"/>
                <w:sz w:val="20"/>
                <w:szCs w:val="20"/>
              </w:rPr>
              <w:t>：</w:t>
            </w:r>
            <w:r>
              <w:rPr>
                <w:b w:val="0"/>
                <w:bCs w:val="0"/>
                <w:color w:val="000000"/>
                <w:sz w:val="20"/>
              </w:rPr>
              <w:t>巫溪县塘坊镇人民政府（本级）</w:t>
            </w:r>
          </w:p>
        </w:tc>
        <w:tc>
          <w:tcPr>
            <w:tcW w:w="1156"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05表</w:t>
            </w:r>
          </w:p>
        </w:tc>
      </w:tr>
      <w:tr>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cs="Arial"/>
                <w:b w:val="0"/>
                <w:bCs w:val="0"/>
                <w:color w:val="000000"/>
                <w:sz w:val="20"/>
                <w:szCs w:val="20"/>
              </w:rPr>
            </w:pPr>
          </w:p>
        </w:tc>
        <w:tc>
          <w:tcPr>
            <w:tcW w:w="1156"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单位：万元</w:t>
            </w:r>
          </w:p>
        </w:tc>
      </w:tr>
      <w:tr>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年末结转和结余</w:t>
            </w:r>
          </w:p>
        </w:tc>
      </w:tr>
      <w:tr>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项目支出结转和结余</w:t>
            </w:r>
          </w:p>
        </w:tc>
      </w:tr>
      <w:tr>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项目支出结余</w:t>
            </w:r>
          </w:p>
        </w:tc>
      </w:tr>
      <w:tr>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r>
      <w:tr>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13</w:t>
            </w:r>
          </w:p>
        </w:tc>
      </w:tr>
      <w:tr>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hint="default" w:cs="宋体"/>
                <w:b w:val="0"/>
                <w:bCs w:val="0"/>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cs="宋体"/>
                <w:b w:val="0"/>
                <w:bCs w:val="0"/>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cs="宋体"/>
                <w:b w:val="0"/>
                <w:bCs w:val="0"/>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0"/>
                <w:szCs w:val="20"/>
              </w:rPr>
            </w:pPr>
            <w:r>
              <w:rPr>
                <w:rFonts w:cs="宋体"/>
                <w:b w:val="0"/>
                <w:bCs w:val="0"/>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2,219.29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735.75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1,483.55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2,219.29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735.75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1,483.55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492.18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463.24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28.94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492.18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463.24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28.94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478.36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463.24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15.13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478.36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463.24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15.13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463.24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463.24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463.24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463.24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15.13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15.13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15.13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15.13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7.20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7.20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7.20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7.20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7.20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7.20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7.20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7.20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0.61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0.61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0.61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0.61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2013299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其他组织事务支出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0.61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0.61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0.61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0.61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189.86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165.48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24.38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189.86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165.48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24.38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18.38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18.38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18.38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18.38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18.38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18.38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18.38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18.38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134.76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134.76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134.76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134.76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47.19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47.19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47.19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47.19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55.22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55.22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55.22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55.22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32.35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32.35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32.35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32.35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30.72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30.72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30.72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30.72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30.72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30.72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30.72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30.72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34.51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34.51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34.51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34.51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34.51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34.51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34.51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34.51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34.51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34.51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34.51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34.51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49.84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49.84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49.84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49.84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4.35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4.35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4.35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4.35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4.35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4.35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4.35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4.35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28.34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28.34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28.34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28.34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28.34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28.34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28.34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28.34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17.15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17.15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17.15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17.15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17.15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17.15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17.15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17.15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1,230.19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25.70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1,204.49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1,230.19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25.70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1,204.49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105.63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105.63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105.63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105.63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24.45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24.45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24.45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24.45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2130119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防灾救灾</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24.07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24.07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24.07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24.07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0.30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0.30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0.30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0.30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43.80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43.80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43.80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43.80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829.77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22.27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807.50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829.77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22.27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807.50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217.30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217.30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217.30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217.30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408.12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408.12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408.12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408.12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204.35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22.27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182.08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204.35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22.27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182.08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289.80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3.43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286.37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289.80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3.43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286.37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23.82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23.82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23.82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23.82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265.97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3.43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262.54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265.97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3.43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262.54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107.03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107.03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107.03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107.03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107.03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107.03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107.03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107.03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107.03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107.03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107.03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107.03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83.69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46.81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36.88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83.69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46.81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36.88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36.88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36.88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36.88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36.88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2210103</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棚户区改造</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31.13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31.13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31.13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31.13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5.75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5.75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5.75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5.75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46.81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46.81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46.81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46.81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46.81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46.81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46.81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46.81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31.99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31.99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31.99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31.99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19.95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19.95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19.95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19.95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19.95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19.95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19.95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19.95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7.48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7.48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7.48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7.48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2240699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其他自然灾害防治支出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7.48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7.48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7.48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7.48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4.56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4.56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4.56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4.56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4.56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4.56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4.56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4.56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bl>
    <w:p>
      <w:pPr>
        <w:rPr>
          <w:rFonts w:hint="default" w:cs="宋体"/>
          <w:b w:val="0"/>
          <w:bCs w:val="0"/>
          <w:sz w:val="21"/>
          <w:szCs w:val="21"/>
        </w:rPr>
      </w:pPr>
      <w:r>
        <w:rPr>
          <w:rFonts w:cs="宋体"/>
          <w:b w:val="0"/>
          <w:bCs w:val="0"/>
          <w:sz w:val="21"/>
          <w:szCs w:val="21"/>
        </w:rPr>
        <w:br w:type="page"/>
      </w:r>
    </w:p>
    <w:tbl>
      <w:tblPr>
        <w:tblStyle w:val="8"/>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jc w:val="center"/>
              <w:textAlignment w:val="bottom"/>
              <w:rPr>
                <w:rFonts w:hint="default" w:cs="宋体"/>
                <w:b w:val="0"/>
                <w:bCs w:val="0"/>
                <w:color w:val="000000"/>
                <w:sz w:val="30"/>
                <w:szCs w:val="30"/>
              </w:rPr>
            </w:pPr>
            <w:r>
              <w:rPr>
                <w:rFonts w:cs="宋体"/>
                <w:b w:val="0"/>
                <w:bCs w:val="0"/>
                <w:color w:val="000000"/>
                <w:sz w:val="30"/>
                <w:szCs w:val="30"/>
              </w:rPr>
              <w:t>一般公共预算财政拨款基本支出决算明细表</w:t>
            </w:r>
          </w:p>
        </w:tc>
      </w:tr>
      <w:tr>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cs="Arial"/>
                <w:b w:val="0"/>
                <w:bCs w:val="0"/>
                <w:color w:val="000000"/>
                <w:sz w:val="20"/>
                <w:szCs w:val="20"/>
              </w:rPr>
            </w:pPr>
            <w:r>
              <w:rPr>
                <w:rFonts w:cs="宋体"/>
                <w:b w:val="0"/>
                <w:bCs w:val="0"/>
                <w:sz w:val="20"/>
                <w:szCs w:val="20"/>
              </w:rPr>
              <w:t>部门</w:t>
            </w:r>
            <w:r>
              <w:rPr>
                <w:rFonts w:cs="宋体"/>
                <w:b w:val="0"/>
                <w:bCs w:val="0"/>
                <w:color w:val="000000"/>
                <w:sz w:val="20"/>
                <w:szCs w:val="20"/>
              </w:rPr>
              <w:t>：</w:t>
            </w:r>
            <w:r>
              <w:rPr>
                <w:b w:val="0"/>
                <w:bCs w:val="0"/>
                <w:color w:val="000000"/>
                <w:sz w:val="20"/>
              </w:rPr>
              <w:t>巫溪县塘坊镇人民政府（本级）</w:t>
            </w:r>
          </w:p>
        </w:tc>
        <w:tc>
          <w:tcPr>
            <w:tcW w:w="2682"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06表</w:t>
            </w:r>
          </w:p>
        </w:tc>
      </w:tr>
      <w:tr>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cs="Arial"/>
                <w:b w:val="0"/>
                <w:bCs w:val="0"/>
                <w:color w:val="000000"/>
                <w:sz w:val="20"/>
                <w:szCs w:val="20"/>
              </w:rPr>
            </w:pPr>
          </w:p>
        </w:tc>
        <w:tc>
          <w:tcPr>
            <w:tcW w:w="2682"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单位：万元</w:t>
            </w:r>
          </w:p>
        </w:tc>
      </w:tr>
      <w:tr>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公用经费</w:t>
            </w:r>
          </w:p>
        </w:tc>
      </w:tr>
      <w:tr>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决算数</w:t>
            </w:r>
          </w:p>
        </w:tc>
      </w:tr>
      <w:tr>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550.62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88.89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122.76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25.28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112.21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145.03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55.22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10.00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32.35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31.94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1.73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8.01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46.81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2.57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96.23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4.43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30.72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63.40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2.11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1.49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3.10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26.28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39908</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b w:val="0"/>
                <w:bCs w:val="0"/>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b w:val="0"/>
                <w:bCs w:val="0"/>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b w:val="0"/>
                <w:bCs w:val="0"/>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2.30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39909</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b w:val="0"/>
                <w:bCs w:val="0"/>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b w:val="0"/>
                <w:bCs w:val="0"/>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b w:val="0"/>
                <w:bCs w:val="0"/>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39910</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b w:val="0"/>
                <w:bCs w:val="0"/>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b w:val="0"/>
                <w:bCs w:val="0"/>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b w:val="0"/>
                <w:bCs w:val="0"/>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39999</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b w:val="0"/>
                <w:bCs w:val="0"/>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b w:val="0"/>
                <w:bCs w:val="0"/>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b w:val="0"/>
                <w:bCs w:val="0"/>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rPr>
                <w:rFonts w:hint="default" w:cs="宋体"/>
                <w:b w:val="0"/>
                <w:bCs w:val="0"/>
                <w:color w:val="000000"/>
                <w:sz w:val="22"/>
                <w:szCs w:val="22"/>
              </w:rPr>
            </w:pPr>
          </w:p>
        </w:tc>
        <w:tc>
          <w:tcPr>
            <w:tcW w:w="4467" w:type="dxa"/>
            <w:tcBorders>
              <w:top w:val="nil"/>
              <w:left w:val="nil"/>
              <w:bottom w:val="single" w:color="000000" w:sz="4" w:space="0"/>
              <w:right w:val="nil"/>
            </w:tcBorders>
            <w:shd w:val="clear" w:color="auto" w:fill="auto"/>
            <w:vAlign w:val="center"/>
          </w:tcPr>
          <w:p>
            <w:pPr>
              <w:spacing w:line="340" w:lineRule="exact"/>
              <w:rPr>
                <w:rFonts w:hint="default" w:cs="宋体"/>
                <w:b w:val="0"/>
                <w:bCs w:val="0"/>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right"/>
              <w:rPr>
                <w:rFonts w:hint="default" w:ascii="Times New Roman" w:hAnsi="Times New Roman"/>
                <w:b w:val="0"/>
                <w:bCs w:val="0"/>
                <w:color w:val="000000"/>
                <w:sz w:val="22"/>
                <w:szCs w:val="22"/>
              </w:rPr>
            </w:pP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b w:val="0"/>
                <w:bCs w:val="0"/>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b w:val="0"/>
                <w:bCs w:val="0"/>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b w:val="0"/>
                <w:bCs w:val="0"/>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rPr>
                <w:rFonts w:hint="default" w:cs="宋体"/>
                <w:b w:val="0"/>
                <w:bCs w:val="0"/>
                <w:color w:val="000000"/>
                <w:sz w:val="22"/>
                <w:szCs w:val="22"/>
              </w:rPr>
            </w:pPr>
          </w:p>
        </w:tc>
        <w:tc>
          <w:tcPr>
            <w:tcW w:w="4467" w:type="dxa"/>
            <w:tcBorders>
              <w:top w:val="nil"/>
              <w:left w:val="nil"/>
              <w:bottom w:val="single" w:color="000000" w:sz="4" w:space="0"/>
              <w:right w:val="nil"/>
            </w:tcBorders>
            <w:shd w:val="clear" w:color="auto" w:fill="auto"/>
            <w:vAlign w:val="center"/>
          </w:tcPr>
          <w:p>
            <w:pPr>
              <w:spacing w:line="340" w:lineRule="exact"/>
              <w:rPr>
                <w:rFonts w:hint="default" w:cs="宋体"/>
                <w:b w:val="0"/>
                <w:bCs w:val="0"/>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right"/>
              <w:rPr>
                <w:rFonts w:hint="default" w:ascii="Times New Roman" w:hAnsi="Times New Roman"/>
                <w:b w:val="0"/>
                <w:bCs w:val="0"/>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b w:val="0"/>
                <w:bCs w:val="0"/>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b w:val="0"/>
                <w:bCs w:val="0"/>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b w:val="0"/>
                <w:bCs w:val="0"/>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rPr>
                <w:rFonts w:hint="default" w:cs="宋体"/>
                <w:b w:val="0"/>
                <w:bCs w:val="0"/>
                <w:color w:val="000000"/>
                <w:sz w:val="22"/>
                <w:szCs w:val="22"/>
              </w:rPr>
            </w:pPr>
          </w:p>
        </w:tc>
        <w:tc>
          <w:tcPr>
            <w:tcW w:w="4467" w:type="dxa"/>
            <w:tcBorders>
              <w:top w:val="nil"/>
              <w:left w:val="nil"/>
              <w:bottom w:val="single" w:color="000000" w:sz="4" w:space="0"/>
              <w:right w:val="nil"/>
            </w:tcBorders>
            <w:shd w:val="clear" w:color="auto" w:fill="auto"/>
            <w:vAlign w:val="center"/>
          </w:tcPr>
          <w:p>
            <w:pPr>
              <w:spacing w:line="340" w:lineRule="exact"/>
              <w:rPr>
                <w:rFonts w:hint="default" w:cs="宋体"/>
                <w:b w:val="0"/>
                <w:bCs w:val="0"/>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right"/>
              <w:rPr>
                <w:rFonts w:hint="default" w:ascii="Times New Roman" w:hAnsi="Times New Roman"/>
                <w:b w:val="0"/>
                <w:bCs w:val="0"/>
                <w:color w:val="000000"/>
                <w:sz w:val="22"/>
                <w:szCs w:val="22"/>
              </w:rPr>
            </w:pPr>
          </w:p>
        </w:tc>
      </w:tr>
      <w:tr>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spacing w:line="340" w:lineRule="exact"/>
              <w:jc w:val="center"/>
              <w:textAlignment w:val="center"/>
              <w:rPr>
                <w:rFonts w:hint="default" w:cs="宋体"/>
                <w:b w:val="0"/>
                <w:bCs w:val="0"/>
                <w:color w:val="000000"/>
                <w:sz w:val="22"/>
                <w:szCs w:val="22"/>
              </w:rPr>
            </w:pPr>
            <w:r>
              <w:rPr>
                <w:rFonts w:cs="宋体"/>
                <w:b w:val="0"/>
                <w:bCs w:val="0"/>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ordWrap w:val="0"/>
              <w:spacing w:line="340" w:lineRule="exact"/>
              <w:jc w:val="right"/>
              <w:textAlignment w:val="bottom"/>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646.85 </w:t>
            </w:r>
          </w:p>
        </w:tc>
        <w:tc>
          <w:tcPr>
            <w:tcW w:w="12067" w:type="dxa"/>
            <w:gridSpan w:val="5"/>
            <w:tcBorders>
              <w:top w:val="nil"/>
              <w:left w:val="nil"/>
              <w:bottom w:val="single" w:color="000000" w:sz="4" w:space="0"/>
              <w:right w:val="single" w:color="000000" w:sz="4" w:space="0"/>
            </w:tcBorders>
            <w:shd w:val="clear" w:color="auto" w:fill="auto"/>
            <w:vAlign w:val="center"/>
          </w:tcPr>
          <w:p>
            <w:pPr>
              <w:spacing w:line="340" w:lineRule="exact"/>
              <w:jc w:val="center"/>
              <w:textAlignment w:val="center"/>
              <w:rPr>
                <w:rFonts w:hint="default" w:cs="宋体"/>
                <w:b w:val="0"/>
                <w:bCs w:val="0"/>
                <w:color w:val="000000"/>
                <w:sz w:val="22"/>
                <w:szCs w:val="22"/>
              </w:rPr>
            </w:pPr>
            <w:r>
              <w:rPr>
                <w:rFonts w:cs="宋体"/>
                <w:b w:val="0"/>
                <w:bCs w:val="0"/>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88.89 </w:t>
            </w:r>
          </w:p>
        </w:tc>
      </w:tr>
    </w:tbl>
    <w:p>
      <w:pPr>
        <w:rPr>
          <w:rFonts w:hint="default" w:cs="宋体"/>
          <w:b w:val="0"/>
          <w:bCs w:val="0"/>
          <w:sz w:val="21"/>
          <w:szCs w:val="21"/>
        </w:rPr>
      </w:pPr>
      <w:r>
        <w:rPr>
          <w:rFonts w:cs="宋体"/>
          <w:b w:val="0"/>
          <w:bCs w:val="0"/>
          <w:sz w:val="21"/>
          <w:szCs w:val="21"/>
        </w:rPr>
        <w:br w:type="page"/>
      </w:r>
    </w:p>
    <w:tbl>
      <w:tblPr>
        <w:tblStyle w:val="8"/>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jc w:val="center"/>
              <w:textAlignment w:val="bottom"/>
              <w:rPr>
                <w:rFonts w:hint="default" w:cs="宋体"/>
                <w:b w:val="0"/>
                <w:bCs w:val="0"/>
                <w:color w:val="000000"/>
                <w:sz w:val="30"/>
                <w:szCs w:val="30"/>
              </w:rPr>
            </w:pPr>
            <w:r>
              <w:rPr>
                <w:rFonts w:cs="宋体"/>
                <w:b w:val="0"/>
                <w:bCs w:val="0"/>
                <w:color w:val="000000"/>
                <w:sz w:val="30"/>
                <w:szCs w:val="30"/>
              </w:rPr>
              <w:t>政府性基金预算财政拨款收入支出决算表</w:t>
            </w:r>
          </w:p>
        </w:tc>
      </w:tr>
      <w:tr>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cs="Arial"/>
                <w:b w:val="0"/>
                <w:bCs w:val="0"/>
                <w:color w:val="000000"/>
                <w:sz w:val="20"/>
                <w:szCs w:val="20"/>
              </w:rPr>
            </w:pPr>
            <w:r>
              <w:rPr>
                <w:rFonts w:cs="宋体"/>
                <w:b w:val="0"/>
                <w:bCs w:val="0"/>
                <w:sz w:val="20"/>
                <w:szCs w:val="20"/>
              </w:rPr>
              <w:t>部门</w:t>
            </w:r>
            <w:r>
              <w:rPr>
                <w:rFonts w:cs="宋体"/>
                <w:b w:val="0"/>
                <w:bCs w:val="0"/>
                <w:color w:val="000000"/>
                <w:sz w:val="20"/>
                <w:szCs w:val="20"/>
              </w:rPr>
              <w:t>：</w:t>
            </w:r>
            <w:r>
              <w:rPr>
                <w:b w:val="0"/>
                <w:bCs w:val="0"/>
                <w:color w:val="000000"/>
                <w:sz w:val="20"/>
              </w:rPr>
              <w:t>巫溪县塘坊镇人民政府（本级）</w:t>
            </w:r>
          </w:p>
        </w:tc>
        <w:tc>
          <w:tcPr>
            <w:tcW w:w="1156"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07表</w:t>
            </w:r>
          </w:p>
        </w:tc>
      </w:tr>
      <w:tr>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cs="Arial"/>
                <w:b w:val="0"/>
                <w:bCs w:val="0"/>
                <w:color w:val="000000"/>
                <w:sz w:val="20"/>
                <w:szCs w:val="20"/>
              </w:rPr>
            </w:pPr>
          </w:p>
        </w:tc>
        <w:tc>
          <w:tcPr>
            <w:tcW w:w="1156"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单位：万元</w:t>
            </w:r>
          </w:p>
        </w:tc>
      </w:tr>
      <w:tr>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年末结转和结余</w:t>
            </w:r>
          </w:p>
        </w:tc>
      </w:tr>
      <w:tr>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项目支出结转和结余</w:t>
            </w:r>
          </w:p>
        </w:tc>
      </w:tr>
      <w:tr>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项目支出结余</w:t>
            </w:r>
          </w:p>
        </w:tc>
      </w:tr>
      <w:tr>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r>
      <w:tr>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13</w:t>
            </w:r>
          </w:p>
        </w:tc>
      </w:tr>
      <w:tr>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hint="default" w:cs="宋体"/>
                <w:b w:val="0"/>
                <w:bCs w:val="0"/>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cs="宋体"/>
                <w:b w:val="0"/>
                <w:bCs w:val="0"/>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cs="宋体"/>
                <w:b w:val="0"/>
                <w:bCs w:val="0"/>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0"/>
                <w:szCs w:val="20"/>
              </w:rPr>
            </w:pPr>
            <w:r>
              <w:rPr>
                <w:rFonts w:cs="宋体"/>
                <w:b w:val="0"/>
                <w:bCs w:val="0"/>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bl>
    <w:p>
      <w:pPr>
        <w:rPr>
          <w:rFonts w:hint="default" w:cs="宋体"/>
          <w:b w:val="0"/>
          <w:bCs w:val="0"/>
          <w:sz w:val="21"/>
          <w:szCs w:val="21"/>
        </w:rPr>
      </w:pPr>
      <w:r>
        <w:rPr>
          <w:rFonts w:cs="宋体"/>
          <w:b w:val="0"/>
          <w:bCs w:val="0"/>
          <w:sz w:val="21"/>
          <w:szCs w:val="21"/>
        </w:rPr>
        <w:br w:type="page"/>
      </w:r>
    </w:p>
    <w:tbl>
      <w:tblPr>
        <w:tblStyle w:val="8"/>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jc w:val="center"/>
              <w:textAlignment w:val="bottom"/>
              <w:rPr>
                <w:rFonts w:hint="default" w:cs="宋体"/>
                <w:b w:val="0"/>
                <w:bCs w:val="0"/>
                <w:color w:val="000000"/>
                <w:sz w:val="30"/>
                <w:szCs w:val="30"/>
              </w:rPr>
            </w:pPr>
            <w:r>
              <w:rPr>
                <w:rFonts w:cs="宋体"/>
                <w:b w:val="0"/>
                <w:bCs w:val="0"/>
                <w:color w:val="000000"/>
                <w:sz w:val="30"/>
                <w:szCs w:val="30"/>
              </w:rPr>
              <w:t>国有资本经营预算财政拨款收入支出决算表</w:t>
            </w:r>
          </w:p>
        </w:tc>
      </w:tr>
      <w:tr>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cs="Arial"/>
                <w:b w:val="0"/>
                <w:bCs w:val="0"/>
                <w:color w:val="000000"/>
                <w:sz w:val="20"/>
                <w:szCs w:val="20"/>
              </w:rPr>
            </w:pPr>
            <w:r>
              <w:rPr>
                <w:rFonts w:cs="宋体"/>
                <w:b w:val="0"/>
                <w:bCs w:val="0"/>
                <w:color w:val="000000"/>
                <w:sz w:val="20"/>
                <w:szCs w:val="20"/>
              </w:rPr>
              <w:t>部门：</w:t>
            </w:r>
            <w:r>
              <w:rPr>
                <w:b w:val="0"/>
                <w:bCs w:val="0"/>
                <w:color w:val="000000"/>
                <w:sz w:val="20"/>
              </w:rPr>
              <w:t>巫溪县塘坊镇人民政府（本级）</w:t>
            </w:r>
          </w:p>
        </w:tc>
        <w:tc>
          <w:tcPr>
            <w:tcW w:w="2116"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08表</w:t>
            </w:r>
          </w:p>
        </w:tc>
      </w:tr>
      <w:tr>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cs="Arial"/>
                <w:b w:val="0"/>
                <w:bCs w:val="0"/>
                <w:color w:val="000000"/>
                <w:sz w:val="20"/>
                <w:szCs w:val="20"/>
              </w:rPr>
            </w:pPr>
          </w:p>
        </w:tc>
        <w:tc>
          <w:tcPr>
            <w:tcW w:w="2116"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单位：万元</w:t>
            </w:r>
          </w:p>
        </w:tc>
      </w:tr>
      <w:tr>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年末结转和结余</w:t>
            </w:r>
          </w:p>
        </w:tc>
      </w:tr>
      <w:tr>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结余</w:t>
            </w:r>
          </w:p>
        </w:tc>
      </w:tr>
      <w:tr>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r>
      <w:tr>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r>
      <w:tr>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8</w:t>
            </w:r>
          </w:p>
        </w:tc>
      </w:tr>
      <w:tr>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bl>
    <w:p>
      <w:pPr>
        <w:rPr>
          <w:rFonts w:hint="default" w:cs="宋体"/>
          <w:b w:val="0"/>
          <w:bCs w:val="0"/>
          <w:sz w:val="21"/>
          <w:szCs w:val="21"/>
        </w:rPr>
      </w:pPr>
      <w:r>
        <w:rPr>
          <w:rFonts w:cs="宋体"/>
          <w:b w:val="0"/>
          <w:bCs w:val="0"/>
          <w:sz w:val="21"/>
          <w:szCs w:val="21"/>
        </w:rPr>
        <w:br w:type="page"/>
      </w:r>
    </w:p>
    <w:tbl>
      <w:tblPr>
        <w:tblStyle w:val="8"/>
        <w:tblW w:w="20051" w:type="dxa"/>
        <w:tblInd w:w="93" w:type="dxa"/>
        <w:tblLayout w:type="fixed"/>
        <w:tblCellMar>
          <w:top w:w="0" w:type="dxa"/>
          <w:left w:w="108" w:type="dxa"/>
          <w:bottom w:w="0" w:type="dxa"/>
          <w:right w:w="108" w:type="dxa"/>
        </w:tblCellMar>
      </w:tblPr>
      <w:tblGrid>
        <w:gridCol w:w="4417"/>
        <w:gridCol w:w="1017"/>
        <w:gridCol w:w="4017"/>
        <w:gridCol w:w="5416"/>
        <w:gridCol w:w="1050"/>
        <w:gridCol w:w="4134"/>
      </w:tblGrid>
      <w:tr>
        <w:trPr>
          <w:trHeight w:val="540" w:hRule="atLeast"/>
        </w:trPr>
        <w:tc>
          <w:tcPr>
            <w:tcW w:w="20051" w:type="dxa"/>
            <w:gridSpan w:val="6"/>
            <w:tcBorders>
              <w:top w:val="nil"/>
              <w:left w:val="nil"/>
              <w:bottom w:val="nil"/>
              <w:right w:val="nil"/>
            </w:tcBorders>
            <w:shd w:val="clear" w:color="auto" w:fill="auto"/>
            <w:vAlign w:val="bottom"/>
          </w:tcPr>
          <w:p>
            <w:pPr>
              <w:jc w:val="center"/>
              <w:textAlignment w:val="bottom"/>
              <w:rPr>
                <w:rFonts w:hint="default" w:cs="宋体"/>
                <w:b w:val="0"/>
                <w:bCs w:val="0"/>
                <w:color w:val="000000"/>
                <w:sz w:val="44"/>
                <w:szCs w:val="44"/>
              </w:rPr>
            </w:pPr>
            <w:r>
              <w:rPr>
                <w:rFonts w:cs="宋体"/>
                <w:b w:val="0"/>
                <w:bCs w:val="0"/>
                <w:color w:val="000000"/>
                <w:sz w:val="30"/>
                <w:szCs w:val="30"/>
              </w:rPr>
              <w:t>机构运行信息决算表</w:t>
            </w:r>
          </w:p>
        </w:tc>
      </w:tr>
      <w:tr>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cs="Arial"/>
                <w:b w:val="0"/>
                <w:bCs w:val="0"/>
                <w:color w:val="000000"/>
                <w:sz w:val="20"/>
                <w:szCs w:val="20"/>
              </w:rPr>
            </w:pPr>
            <w:r>
              <w:rPr>
                <w:rFonts w:cs="宋体"/>
                <w:b w:val="0"/>
                <w:bCs w:val="0"/>
                <w:color w:val="000000"/>
                <w:sz w:val="20"/>
                <w:szCs w:val="20"/>
              </w:rPr>
              <w:t>部门：</w:t>
            </w:r>
            <w:r>
              <w:rPr>
                <w:b w:val="0"/>
                <w:bCs w:val="0"/>
                <w:color w:val="000000"/>
                <w:sz w:val="20"/>
              </w:rPr>
              <w:t>巫溪县塘坊镇人民政府（本级）</w:t>
            </w:r>
          </w:p>
        </w:tc>
        <w:tc>
          <w:tcPr>
            <w:tcW w:w="4134"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09表</w:t>
            </w:r>
          </w:p>
        </w:tc>
      </w:tr>
      <w:tr>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cs="Arial"/>
                <w:b w:val="0"/>
                <w:bCs w:val="0"/>
                <w:color w:val="000000"/>
                <w:sz w:val="20"/>
                <w:szCs w:val="20"/>
              </w:rPr>
            </w:pPr>
          </w:p>
        </w:tc>
        <w:tc>
          <w:tcPr>
            <w:tcW w:w="4134"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单位：万元</w:t>
            </w:r>
          </w:p>
        </w:tc>
      </w:tr>
      <w:tr>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行次</w:t>
            </w:r>
          </w:p>
        </w:tc>
        <w:tc>
          <w:tcPr>
            <w:tcW w:w="4017" w:type="dxa"/>
            <w:tcBorders>
              <w:top w:val="single" w:color="000000" w:sz="4" w:space="0"/>
              <w:left w:val="nil"/>
              <w:bottom w:val="nil"/>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行次</w:t>
            </w:r>
          </w:p>
        </w:tc>
        <w:tc>
          <w:tcPr>
            <w:tcW w:w="4134" w:type="dxa"/>
            <w:tcBorders>
              <w:top w:val="single" w:color="000000" w:sz="4" w:space="0"/>
              <w:left w:val="nil"/>
              <w:bottom w:val="nil"/>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决算数</w:t>
            </w:r>
          </w:p>
        </w:tc>
      </w:tr>
      <w:tr>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一、“三公”经费支出</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五、机关运行经费</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88.89 </w:t>
            </w:r>
          </w:p>
        </w:tc>
      </w:tr>
      <w:tr>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（一）支出合计</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11.43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（一）行政单位</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88.89 </w:t>
            </w:r>
          </w:p>
        </w:tc>
      </w:tr>
      <w:tr>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1．因公出国（境）费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六、资产信息</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w:t>
            </w:r>
          </w:p>
        </w:tc>
      </w:tr>
      <w:tr>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（1）公务用车购置费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（一）车辆数合计（辆）</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   </w:t>
            </w:r>
          </w:p>
        </w:tc>
      </w:tr>
      <w:tr>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（2）公务用车运行维护费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3．公务接待费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4.43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2．主要领导干部用车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（1）国内接待费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4.43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3．机要通信用车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其中：外事接待费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4．应急保障用车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 </w:t>
            </w:r>
          </w:p>
        </w:tc>
      </w:tr>
      <w:tr>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（2）国（境）外接待费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5．执法执勤用车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（二）相关统计数</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6．特种专业技术用车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1．因公出国（境）团组数（个）</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7．离退休干部用车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2．因公出国（境）人次数（人）</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8．其他用车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3．公务用车购置数（辆）</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4．公务用车保有量（辆）</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七、政府采购支出信息</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w:t>
            </w:r>
          </w:p>
        </w:tc>
      </w:tr>
      <w:tr>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5．国内公务接待批次（个）</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92</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（一）政府采购支出合计</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3.90 </w:t>
            </w:r>
          </w:p>
        </w:tc>
      </w:tr>
      <w:tr>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其中：外事接待批次（个）</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1．政府采购货物支出</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3.90 </w:t>
            </w:r>
          </w:p>
        </w:tc>
      </w:tr>
      <w:tr>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6．国内公务接待人次（人）</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985</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2．政府采购工程支出</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其中：外事接待人次（人）</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3．政府采购服务支出</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3.90 </w:t>
            </w:r>
          </w:p>
        </w:tc>
      </w:tr>
      <w:tr>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3.90 </w:t>
            </w:r>
          </w:p>
        </w:tc>
      </w:tr>
      <w:tr>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二、会议费</w:t>
            </w:r>
          </w:p>
        </w:tc>
        <w:tc>
          <w:tcPr>
            <w:tcW w:w="1017" w:type="dxa"/>
            <w:tcBorders>
              <w:top w:val="nil"/>
              <w:left w:val="nil"/>
              <w:bottom w:val="single" w:color="auto"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6.00</w:t>
            </w:r>
          </w:p>
        </w:tc>
        <w:tc>
          <w:tcPr>
            <w:tcW w:w="5416" w:type="dxa"/>
            <w:tcBorders>
              <w:top w:val="nil"/>
              <w:left w:val="nil"/>
              <w:bottom w:val="single" w:color="auto"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1050" w:type="dxa"/>
            <w:tcBorders>
              <w:top w:val="nil"/>
              <w:left w:val="nil"/>
              <w:bottom w:val="single" w:color="auto"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rPr>
                <w:rFonts w:hint="default" w:ascii="Arial" w:hAnsi="Arial" w:cs="Arial"/>
                <w:b w:val="0"/>
                <w:bCs w:val="0"/>
                <w:color w:val="000000"/>
                <w:sz w:val="20"/>
                <w:szCs w:val="20"/>
              </w:rPr>
            </w:pPr>
          </w:p>
        </w:tc>
      </w:tr>
      <w:tr>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hint="default" w:cs="宋体"/>
                <w:b w:val="0"/>
                <w:bCs w:val="0"/>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cs="宋体"/>
                <w:b w:val="0"/>
                <w:bCs w:val="0"/>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spacing w:line="400" w:lineRule="exact"/>
              <w:rPr>
                <w:rFonts w:hint="default" w:ascii="Arial" w:hAnsi="Arial" w:cs="Arial"/>
                <w:b w:val="0"/>
                <w:bCs w:val="0"/>
                <w:color w:val="000000"/>
                <w:sz w:val="20"/>
                <w:szCs w:val="20"/>
              </w:rPr>
            </w:pPr>
          </w:p>
        </w:tc>
      </w:tr>
      <w:tr>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textAlignment w:val="center"/>
              <w:rPr>
                <w:rFonts w:hint="default" w:cs="宋体"/>
                <w:b w:val="0"/>
                <w:bCs w:val="0"/>
                <w:color w:val="000000"/>
                <w:kern w:val="2"/>
                <w:sz w:val="22"/>
                <w:szCs w:val="22"/>
              </w:rPr>
            </w:pPr>
            <w:r>
              <w:rPr>
                <w:rFonts w:cs="宋体"/>
                <w:b w:val="0"/>
                <w:bCs w:val="0"/>
                <w:color w:val="000000"/>
                <w:sz w:val="22"/>
                <w:szCs w:val="22"/>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cs="宋体"/>
                <w:b w:val="0"/>
                <w:bCs w:val="0"/>
                <w:color w:val="000000"/>
                <w:kern w:val="2"/>
                <w:sz w:val="22"/>
                <w:szCs w:val="22"/>
              </w:rPr>
            </w:pPr>
            <w:r>
              <w:rPr>
                <w:rFonts w:cs="宋体"/>
                <w:b w:val="0"/>
                <w:bCs w:val="0"/>
                <w:color w:val="000000"/>
                <w:sz w:val="22"/>
                <w:szCs w:val="22"/>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spacing w:line="400" w:lineRule="exact"/>
              <w:jc w:val="right"/>
              <w:textAlignment w:val="bottom"/>
              <w:rPr>
                <w:rFonts w:hint="default" w:ascii="Times New Roman" w:hAnsi="Times New Roman"/>
                <w:b w:val="0"/>
                <w:bCs w:val="0"/>
                <w:color w:val="000000"/>
                <w:kern w:val="2"/>
                <w:sz w:val="22"/>
                <w:szCs w:val="22"/>
              </w:rPr>
            </w:pPr>
            <w:r>
              <w:rPr>
                <w:rFonts w:hint="default" w:ascii="Times New Roman" w:hAnsi="Times New Roman"/>
                <w:b w:val="0"/>
                <w:bCs w:val="0"/>
                <w:color w:val="000000"/>
                <w:sz w:val="22"/>
                <w:szCs w:val="22"/>
              </w:rPr>
              <w:t>8.01</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hint="default" w:cs="宋体"/>
                <w:b w:val="0"/>
                <w:bCs w:val="0"/>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cs="宋体"/>
                <w:b w:val="0"/>
                <w:bCs w:val="0"/>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spacing w:line="400" w:lineRule="exact"/>
              <w:rPr>
                <w:rFonts w:hint="default" w:ascii="Arial" w:hAnsi="Arial" w:cs="Arial"/>
                <w:b w:val="0"/>
                <w:bCs w:val="0"/>
                <w:color w:val="000000"/>
                <w:sz w:val="20"/>
                <w:szCs w:val="20"/>
              </w:rPr>
            </w:pPr>
          </w:p>
        </w:tc>
      </w:tr>
    </w:tbl>
    <w:p>
      <w:pPr>
        <w:rPr>
          <w:rFonts w:hint="default" w:cs="宋体"/>
          <w:b w:val="0"/>
          <w:bCs w:val="0"/>
          <w:color w:val="000000"/>
          <w:sz w:val="21"/>
          <w:szCs w:val="21"/>
        </w:rPr>
      </w:pPr>
    </w:p>
    <w:p>
      <w:pPr>
        <w:rPr>
          <w:rFonts w:hint="default" w:cs="宋体"/>
          <w:b w:val="0"/>
          <w:bCs w:val="0"/>
          <w:color w:val="000000"/>
          <w:sz w:val="21"/>
          <w:szCs w:val="21"/>
        </w:rPr>
      </w:pPr>
    </w:p>
    <w:p>
      <w:pPr>
        <w:rPr>
          <w:rFonts w:hint="default" w:cs="宋体"/>
          <w:b w:val="0"/>
          <w:bCs w:val="0"/>
          <w:color w:val="000000"/>
          <w:sz w:val="21"/>
          <w:szCs w:val="21"/>
        </w:rPr>
      </w:pPr>
    </w:p>
    <w:p>
      <w:pPr>
        <w:rPr>
          <w:rFonts w:hint="default" w:cs="宋体"/>
          <w:b w:val="0"/>
          <w:bCs w:val="0"/>
          <w:color w:val="000000"/>
          <w:sz w:val="21"/>
          <w:szCs w:val="21"/>
        </w:rPr>
      </w:pPr>
    </w:p>
    <w:p>
      <w:pPr>
        <w:rPr>
          <w:rFonts w:hint="default" w:cs="宋体"/>
          <w:b w:val="0"/>
          <w:bCs w:val="0"/>
          <w:color w:val="000000"/>
          <w:sz w:val="21"/>
          <w:szCs w:val="21"/>
        </w:rPr>
      </w:pPr>
    </w:p>
    <w:p>
      <w:pPr>
        <w:rPr>
          <w:rFonts w:hint="default" w:cs="宋体"/>
          <w:b w:val="0"/>
          <w:bCs w:val="0"/>
          <w:color w:val="000000"/>
          <w:sz w:val="21"/>
          <w:szCs w:val="21"/>
        </w:rPr>
      </w:pPr>
    </w:p>
    <w:p>
      <w:pPr>
        <w:rPr>
          <w:rFonts w:hint="default" w:cs="宋体"/>
          <w:b w:val="0"/>
          <w:bCs w:val="0"/>
          <w:color w:val="000000"/>
          <w:sz w:val="21"/>
          <w:szCs w:val="21"/>
        </w:rPr>
      </w:pPr>
    </w:p>
    <w:p>
      <w:pPr>
        <w:rPr>
          <w:rFonts w:hint="default" w:cs="宋体"/>
          <w:b w:val="0"/>
          <w:bCs w:val="0"/>
          <w:color w:val="000000"/>
          <w:sz w:val="21"/>
          <w:szCs w:val="21"/>
        </w:rPr>
      </w:pPr>
    </w:p>
    <w:p>
      <w:pPr>
        <w:rPr>
          <w:rFonts w:hint="default" w:cs="宋体"/>
          <w:b w:val="0"/>
          <w:bCs w:val="0"/>
          <w:color w:val="000000"/>
          <w:sz w:val="21"/>
          <w:szCs w:val="21"/>
        </w:rPr>
      </w:pPr>
    </w:p>
    <w:p>
      <w:pPr>
        <w:pStyle w:val="11"/>
        <w:autoSpaceDE w:val="0"/>
        <w:ind w:firstLine="0" w:firstLineChars="0"/>
        <w:rPr>
          <w:rFonts w:cs="宋体"/>
          <w:b w:val="0"/>
          <w:bCs w:val="0"/>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- 13 -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rPr>
                    <w:rFonts w:hint="default"/>
                  </w:rP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3028FC"/>
    <w:multiLevelType w:val="singleLevel"/>
    <w:tmpl w:val="ED3028F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documentProtection w:enforcement="0"/>
  <w:defaultTabStop w:val="420"/>
  <w:drawingGridVerticalSpacing w:val="156"/>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ZlNjhjZWQ5NWM4YmMxZGE3YjU3YWUyYjBjMWIxMmMifQ=="/>
  </w:docVars>
  <w:rsids>
    <w:rsidRoot w:val="00B03CCD"/>
    <w:rsid w:val="000D7BCC"/>
    <w:rsid w:val="00295849"/>
    <w:rsid w:val="00550ABE"/>
    <w:rsid w:val="007B419D"/>
    <w:rsid w:val="009B67B8"/>
    <w:rsid w:val="009C23A4"/>
    <w:rsid w:val="009F40CB"/>
    <w:rsid w:val="00B03CCD"/>
    <w:rsid w:val="00D137BB"/>
    <w:rsid w:val="00E9586A"/>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8E04023"/>
    <w:rsid w:val="098305D0"/>
    <w:rsid w:val="09B72B6E"/>
    <w:rsid w:val="0A0C7F04"/>
    <w:rsid w:val="0A227275"/>
    <w:rsid w:val="0A5C4B69"/>
    <w:rsid w:val="0B9335CE"/>
    <w:rsid w:val="0BA10C97"/>
    <w:rsid w:val="0C554661"/>
    <w:rsid w:val="0C7927C4"/>
    <w:rsid w:val="0C9B098C"/>
    <w:rsid w:val="0CE80A8F"/>
    <w:rsid w:val="0D472B48"/>
    <w:rsid w:val="0D673E11"/>
    <w:rsid w:val="0D6B7290"/>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EA31BDD"/>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BBE23CA"/>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202A53"/>
    <w:rsid w:val="443A3B12"/>
    <w:rsid w:val="44487B36"/>
    <w:rsid w:val="44EF6BE8"/>
    <w:rsid w:val="44F34844"/>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386990"/>
    <w:rsid w:val="6A924CB7"/>
    <w:rsid w:val="6AE0292E"/>
    <w:rsid w:val="6B474EF5"/>
    <w:rsid w:val="6BC27679"/>
    <w:rsid w:val="6BC54EFE"/>
    <w:rsid w:val="6C560CAE"/>
    <w:rsid w:val="6CD15296"/>
    <w:rsid w:val="6CDA6A4D"/>
    <w:rsid w:val="6D903FF5"/>
    <w:rsid w:val="6DA955B8"/>
    <w:rsid w:val="6DE346AB"/>
    <w:rsid w:val="6FFB2E76"/>
    <w:rsid w:val="70AB70D6"/>
    <w:rsid w:val="70DE5507"/>
    <w:rsid w:val="718C12E2"/>
    <w:rsid w:val="71C34D91"/>
    <w:rsid w:val="71ED38AA"/>
    <w:rsid w:val="72DB435C"/>
    <w:rsid w:val="74ED1B1B"/>
    <w:rsid w:val="750837F0"/>
    <w:rsid w:val="75F64A85"/>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EB6130"/>
    <w:rsid w:val="7CF02E5B"/>
    <w:rsid w:val="7D213FB2"/>
    <w:rsid w:val="7FF723E4"/>
    <w:rsid w:val="F7DF4AFB"/>
    <w:rsid w:val="F7FF0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eastAsia="仿宋_GB2312"/>
      <w:sz w:val="32"/>
      <w:szCs w:val="20"/>
    </w:rPr>
  </w:style>
  <w:style w:type="paragraph" w:styleId="3">
    <w:name w:val="toc 5"/>
    <w:basedOn w:val="1"/>
    <w:next w:val="1"/>
    <w:qFormat/>
    <w:uiPriority w:val="0"/>
    <w:pPr>
      <w:ind w:left="1680" w:leftChars="800"/>
    </w:pPr>
    <w:rPr>
      <w:rFonts w:eastAsia="方正仿宋_GBK"/>
      <w:sz w:val="32"/>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basedOn w:val="1"/>
    <w:qFormat/>
    <w:uiPriority w:val="99"/>
    <w:pPr>
      <w:ind w:firstLine="420" w:firstLineChars="200"/>
    </w:pPr>
  </w:style>
  <w:style w:type="character" w:customStyle="1" w:styleId="1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16">
    <w:name w:val="列出段落21"/>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4153</Words>
  <Characters>23678</Characters>
  <Lines>197</Lines>
  <Paragraphs>55</Paragraphs>
  <TotalTime>9</TotalTime>
  <ScaleCrop>false</ScaleCrop>
  <LinksUpToDate>false</LinksUpToDate>
  <CharactersWithSpaces>27776</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2025-09-18T03:05:00Z</dcterms:created>
  <dc:creator>Administrator</dc:creator>
  <cp:lastModifiedBy> </cp:lastModifiedBy>
  <dcterms:modified xsi:type="dcterms:W3CDTF">2026-05-21T16:18:10Z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2D8CE2A4C1AF4735B995E388FDB57937_13</vt:lpwstr>
  </property>
</Properties>
</file>