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872"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巫溪县文峰镇农业服务中心</w:t>
      </w:r>
    </w:p>
    <w:p>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pPr>
        <w:pStyle w:val="5"/>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keepNext w:val="0"/>
        <w:keepLines w:val="0"/>
        <w:pageBreakBefore w:val="0"/>
        <w:widowControl/>
        <w:shd w:val="clear"/>
        <w:kinsoku/>
        <w:wordWrap/>
        <w:overflowPunct/>
        <w:topLinePunct w:val="0"/>
        <w:autoSpaceDN/>
        <w:bidi w:val="0"/>
        <w:adjustRightInd/>
        <w:spacing w:beforeAutospacing="0" w:line="600" w:lineRule="exact"/>
        <w:ind w:firstLine="792" w:firstLineChars="200"/>
        <w:textAlignment w:val="auto"/>
        <w:rPr>
          <w:rFonts w:hint="default"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lang w:eastAsia="zh-CN"/>
        </w:rPr>
        <w:t>巫溪县</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文峰镇</w:t>
      </w:r>
      <w:r>
        <w:rPr>
          <w:rFonts w:hint="eastAsia" w:ascii="方正仿宋_GBK" w:hAnsi="方正仿宋_GBK" w:eastAsia="方正仿宋_GBK" w:cs="方正仿宋_GBK"/>
          <w:i w:val="0"/>
          <w:iCs w:val="0"/>
          <w:caps w:val="0"/>
          <w:color w:val="333333"/>
          <w:spacing w:val="0"/>
          <w:sz w:val="32"/>
          <w:szCs w:val="32"/>
          <w:shd w:val="clear" w:fill="FFFFFF"/>
          <w:lang w:eastAsia="zh-CN"/>
        </w:rPr>
        <w:t>农业</w:t>
      </w:r>
      <w:r>
        <w:rPr>
          <w:rFonts w:ascii="方正仿宋_GBK" w:hAnsi="方正仿宋_GBK" w:eastAsia="方正仿宋_GBK" w:cs="方正仿宋_GBK"/>
          <w:i w:val="0"/>
          <w:iCs w:val="0"/>
          <w:caps w:val="0"/>
          <w:color w:val="333333"/>
          <w:spacing w:val="0"/>
          <w:sz w:val="32"/>
          <w:szCs w:val="32"/>
          <w:shd w:val="clear" w:fill="FFFFFF"/>
        </w:rPr>
        <w:t>服务中心主要</w:t>
      </w:r>
      <w:r>
        <w:rPr>
          <w:rFonts w:hint="default" w:ascii="方正仿宋_GBK" w:hAnsi="方正仿宋_GBK" w:eastAsia="方正仿宋_GBK" w:cs="方正仿宋_GBK"/>
          <w:i w:val="0"/>
          <w:iCs w:val="0"/>
          <w:caps w:val="0"/>
          <w:color w:val="333333"/>
          <w:spacing w:val="0"/>
          <w:sz w:val="32"/>
          <w:szCs w:val="32"/>
          <w:shd w:val="clear" w:fill="FFFFFF"/>
        </w:rPr>
        <w:t>为农业（含林业、畜牧）、水利等提供技术服务，促进农业发展，承担农业（含林业、畜牧）、水利以及扶贫等相关服务工作。负责农业技术的引进、示范与推广；负责动植物病虫害、农 业灾情的监测、预报、防治；负责农业生态环境和农业投入品使 用监测；承担农产品、水产种苗、水产品质量安全监管公共服务 等工作；依法实施区域内动物疫病的防疫、强制免疫和承担 动物、动物产品的检疫工作，负责实施动物疫情调查、动物疫病 监测、动物疫情报告和畜禽圈舍等环境的消毒工作。负责农业公共信息服务和实用技术培训等工作。完成镇党委、政府交办的其他任务。</w:t>
      </w:r>
    </w:p>
    <w:p>
      <w:pPr>
        <w:pStyle w:val="5"/>
        <w:shd w:val="clear" w:color="auto" w:fill="FFFFFF"/>
        <w:ind w:firstLine="42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792" w:firstLineChars="200"/>
        <w:textAlignment w:val="auto"/>
        <w:rPr>
          <w:rFonts w:ascii="方正仿宋_GBK" w:hAnsi="方正仿宋_GBK" w:eastAsia="方正仿宋_GBK" w:cs="方正仿宋_GBK"/>
          <w:i w:val="0"/>
          <w:iCs w:val="0"/>
          <w:caps w:val="0"/>
          <w:color w:val="333333"/>
          <w:spacing w:val="0"/>
          <w:sz w:val="32"/>
          <w:szCs w:val="32"/>
          <w:shd w:val="clear" w:fill="FFFFFF"/>
        </w:rPr>
      </w:pPr>
      <w:r>
        <w:rPr>
          <w:rFonts w:ascii="方正仿宋_GBK" w:hAnsi="方正仿宋_GBK" w:eastAsia="方正仿宋_GBK" w:cs="方正仿宋_GBK"/>
          <w:i w:val="0"/>
          <w:iCs w:val="0"/>
          <w:caps w:val="0"/>
          <w:color w:val="333333"/>
          <w:spacing w:val="0"/>
          <w:sz w:val="32"/>
          <w:szCs w:val="32"/>
          <w:shd w:val="clear" w:fill="FFFFFF"/>
        </w:rPr>
        <w:t>设置事业站所5个：</w:t>
      </w:r>
      <w:r>
        <w:rPr>
          <w:rFonts w:hint="eastAsia" w:ascii="方正仿宋_GBK" w:hAnsi="方正仿宋_GBK" w:eastAsia="方正仿宋_GBK" w:cs="方正仿宋_GBK"/>
          <w:i w:val="0"/>
          <w:iCs w:val="0"/>
          <w:caps w:val="0"/>
          <w:color w:val="333333"/>
          <w:spacing w:val="0"/>
          <w:sz w:val="32"/>
          <w:szCs w:val="32"/>
          <w:shd w:val="clear" w:fill="FFFFFF"/>
          <w:lang w:eastAsia="zh-CN"/>
        </w:rPr>
        <w:t>农业</w:t>
      </w:r>
      <w:r>
        <w:rPr>
          <w:rFonts w:ascii="方正仿宋_GBK" w:hAnsi="方正仿宋_GBK" w:eastAsia="方正仿宋_GBK" w:cs="方正仿宋_GBK"/>
          <w:i w:val="0"/>
          <w:iCs w:val="0"/>
          <w:caps w:val="0"/>
          <w:color w:val="333333"/>
          <w:spacing w:val="0"/>
          <w:sz w:val="32"/>
          <w:szCs w:val="32"/>
          <w:shd w:val="clear" w:fill="FFFFFF"/>
        </w:rPr>
        <w:t>服务中心、文化服务中心、劳动就业和社会保障服务所、退役军人服务站、综合行政执法大队。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792"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ind w:firstLine="792"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度收入总计516.87万元，支出总计</w:t>
      </w:r>
      <w:r>
        <w:rPr>
          <w:rFonts w:ascii="方正仿宋_GBK" w:hAnsi="方正仿宋_GBK" w:eastAsia="方正仿宋_GBK" w:cs="方正仿宋_GBK"/>
          <w:sz w:val="32"/>
          <w:szCs w:val="32"/>
        </w:rPr>
        <w:t>516.87</w:t>
      </w:r>
      <w:r>
        <w:rPr>
          <w:rFonts w:ascii="方正仿宋_GBK" w:hAnsi="方正仿宋_GBK" w:eastAsia="方正仿宋_GBK" w:cs="方正仿宋_GBK"/>
          <w:sz w:val="32"/>
          <w:szCs w:val="32"/>
          <w:shd w:val="clear" w:color="auto" w:fill="FFFFFF"/>
        </w:rPr>
        <w:t>万元。收、支与2023年度相比，增加516.87万元，增长100.0%，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度收入合计516.87万元，与2023年度相比，增加516.87万元，增长100.0%，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516.87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516.87</w:t>
      </w:r>
      <w:r>
        <w:rPr>
          <w:rFonts w:ascii="方正仿宋_GBK" w:hAnsi="方正仿宋_GBK" w:eastAsia="方正仿宋_GBK" w:cs="方正仿宋_GBK"/>
          <w:sz w:val="32"/>
          <w:szCs w:val="32"/>
          <w:shd w:val="clear" w:color="auto" w:fill="FFFFFF"/>
        </w:rPr>
        <w:t>万元，与2023年度相比，增加516.87万元，增长100.0%，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516.87</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度财政拨款收、支总计516.87万元。与202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年相比，财政拨款收、支总计各增加516.87万元，增长100.0%。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516.87</w:t>
      </w:r>
      <w:r>
        <w:rPr>
          <w:rFonts w:ascii="方正仿宋_GBK" w:hAnsi="方正仿宋_GBK" w:eastAsia="方正仿宋_GBK" w:cs="方正仿宋_GBK"/>
          <w:sz w:val="32"/>
          <w:szCs w:val="32"/>
          <w:shd w:val="clear" w:color="auto" w:fill="FFFFFF"/>
        </w:rPr>
        <w:t>万元，与2023年度相比，增加516.87万元，增长100.0%。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ascii="方正仿宋_GBK" w:hAnsi="方正仿宋_GBK" w:eastAsia="方正仿宋_GBK" w:cs="方正仿宋_GBK"/>
          <w:sz w:val="32"/>
          <w:szCs w:val="32"/>
          <w:shd w:val="clear" w:color="auto" w:fill="FFFFFF"/>
        </w:rPr>
        <w:t>较年初预算数减少1.31万元，下降0.3%。</w:t>
      </w:r>
      <w:r>
        <w:rPr>
          <w:rFonts w:hint="eastAsia" w:ascii="方正仿宋_GBK" w:hAnsi="方正仿宋_GBK" w:eastAsia="方正仿宋_GBK" w:cs="方正仿宋_GBK"/>
          <w:sz w:val="32"/>
          <w:szCs w:val="32"/>
          <w:shd w:val="clear" w:color="auto" w:fill="FFFFFF"/>
        </w:rPr>
        <w:t>主要原因是年初预算</w:t>
      </w:r>
      <w:r>
        <w:rPr>
          <w:rFonts w:hint="eastAsia" w:ascii="方正仿宋_GBK" w:hAnsi="方正仿宋_GBK" w:eastAsia="方正仿宋_GBK" w:cs="方正仿宋_GBK"/>
          <w:sz w:val="32"/>
          <w:szCs w:val="32"/>
          <w:shd w:val="clear" w:color="auto" w:fill="FFFFFF"/>
          <w:lang w:eastAsia="zh-CN"/>
        </w:rPr>
        <w:t>基本支出</w:t>
      </w:r>
      <w:r>
        <w:rPr>
          <w:rFonts w:hint="eastAsia" w:ascii="方正仿宋_GBK" w:hAnsi="方正仿宋_GBK" w:eastAsia="方正仿宋_GBK" w:cs="方正仿宋_GBK"/>
          <w:sz w:val="32"/>
          <w:szCs w:val="32"/>
          <w:shd w:val="clear" w:color="auto" w:fill="FFFFFF"/>
        </w:rPr>
        <w:t>，年中</w:t>
      </w:r>
      <w:r>
        <w:rPr>
          <w:rFonts w:hint="eastAsia" w:ascii="方正仿宋_GBK" w:hAnsi="方正仿宋_GBK" w:eastAsia="方正仿宋_GBK" w:cs="方正仿宋_GBK"/>
          <w:sz w:val="32"/>
          <w:szCs w:val="32"/>
          <w:shd w:val="clear" w:color="auto" w:fill="FFFFFF"/>
          <w:lang w:eastAsia="zh-CN"/>
        </w:rPr>
        <w:t>人员调动。</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792" w:firstLineChars="200"/>
        <w:jc w:val="both"/>
        <w:rPr>
          <w:rFonts w:hint="eastAsia"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516.87</w:t>
      </w:r>
      <w:r>
        <w:rPr>
          <w:rFonts w:ascii="方正仿宋_GBK" w:hAnsi="方正仿宋_GBK" w:eastAsia="方正仿宋_GBK" w:cs="方正仿宋_GBK"/>
          <w:sz w:val="32"/>
          <w:szCs w:val="32"/>
          <w:shd w:val="clear" w:color="auto" w:fill="FFFFFF"/>
        </w:rPr>
        <w:t>万元，与2023年度相比，增加516.87万元，增长100.0%。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ascii="方正仿宋_GBK" w:hAnsi="方正仿宋_GBK" w:eastAsia="方正仿宋_GBK" w:cs="方正仿宋_GBK"/>
          <w:sz w:val="32"/>
          <w:szCs w:val="32"/>
          <w:shd w:val="clear" w:color="auto" w:fill="FFFFFF"/>
        </w:rPr>
        <w:t>较年初预算数减少1.31万元，下降0.3%。</w:t>
      </w:r>
      <w:r>
        <w:rPr>
          <w:rFonts w:hint="eastAsia" w:ascii="方正仿宋_GBK" w:hAnsi="方正仿宋_GBK" w:eastAsia="方正仿宋_GBK" w:cs="方正仿宋_GBK"/>
          <w:sz w:val="32"/>
          <w:szCs w:val="32"/>
          <w:shd w:val="clear" w:color="auto" w:fill="FFFFFF"/>
        </w:rPr>
        <w:t>主要原因是年初预算</w:t>
      </w:r>
      <w:r>
        <w:rPr>
          <w:rFonts w:hint="eastAsia" w:ascii="方正仿宋_GBK" w:hAnsi="方正仿宋_GBK" w:eastAsia="方正仿宋_GBK" w:cs="方正仿宋_GBK"/>
          <w:sz w:val="32"/>
          <w:szCs w:val="32"/>
          <w:shd w:val="clear" w:color="auto" w:fill="FFFFFF"/>
          <w:lang w:eastAsia="zh-CN"/>
        </w:rPr>
        <w:t>基本支出</w:t>
      </w:r>
      <w:r>
        <w:rPr>
          <w:rFonts w:hint="eastAsia" w:ascii="方正仿宋_GBK" w:hAnsi="方正仿宋_GBK" w:eastAsia="方正仿宋_GBK" w:cs="方正仿宋_GBK"/>
          <w:sz w:val="32"/>
          <w:szCs w:val="32"/>
          <w:shd w:val="clear" w:color="auto" w:fill="FFFFFF"/>
        </w:rPr>
        <w:t>，年中</w:t>
      </w:r>
      <w:r>
        <w:rPr>
          <w:rFonts w:hint="eastAsia" w:ascii="方正仿宋_GBK" w:hAnsi="方正仿宋_GBK" w:eastAsia="方正仿宋_GBK" w:cs="方正仿宋_GBK"/>
          <w:sz w:val="32"/>
          <w:szCs w:val="32"/>
          <w:shd w:val="clear" w:color="auto" w:fill="FFFFFF"/>
          <w:lang w:eastAsia="zh-CN"/>
        </w:rPr>
        <w:t>人员调动</w:t>
      </w:r>
      <w:r>
        <w:rPr>
          <w:rFonts w:hint="eastAsia" w:ascii="方正仿宋_GBK" w:hAnsi="方正仿宋_GBK" w:eastAsia="方正仿宋_GBK" w:cs="方正仿宋_GBK"/>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352.69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68.23</w:t>
      </w:r>
      <w:r>
        <w:rPr>
          <w:rFonts w:ascii="方正仿宋_GBK" w:hAnsi="方正仿宋_GBK" w:eastAsia="方正仿宋_GBK" w:cs="方正仿宋_GBK"/>
          <w:sz w:val="32"/>
          <w:szCs w:val="32"/>
          <w:shd w:val="clear" w:color="auto" w:fill="FFFFFF"/>
        </w:rPr>
        <w:t>%，较年初预算数减少29.75万元，下降7.8%，主要原因是</w:t>
      </w:r>
      <w:r>
        <w:rPr>
          <w:rFonts w:hint="eastAsia" w:ascii="方正仿宋_GBK" w:hAnsi="方正仿宋_GBK" w:eastAsia="方正仿宋_GBK" w:cs="方正仿宋_GBK"/>
          <w:sz w:val="32"/>
          <w:szCs w:val="32"/>
          <w:highlight w:val="none"/>
          <w:shd w:val="clear" w:color="auto" w:fill="FFFFFF"/>
        </w:rPr>
        <w:t>年初预算</w:t>
      </w:r>
      <w:r>
        <w:rPr>
          <w:rFonts w:hint="eastAsia" w:ascii="方正仿宋_GBK" w:hAnsi="方正仿宋_GBK" w:eastAsia="方正仿宋_GBK" w:cs="方正仿宋_GBK"/>
          <w:sz w:val="32"/>
          <w:szCs w:val="32"/>
          <w:highlight w:val="none"/>
          <w:shd w:val="clear" w:color="auto" w:fill="FFFFFF"/>
          <w:lang w:eastAsia="zh-CN"/>
        </w:rPr>
        <w:t>基本支出</w:t>
      </w:r>
      <w:r>
        <w:rPr>
          <w:rFonts w:hint="eastAsia" w:ascii="方正仿宋_GBK" w:hAnsi="方正仿宋_GBK" w:eastAsia="方正仿宋_GBK" w:cs="方正仿宋_GBK"/>
          <w:sz w:val="32"/>
          <w:szCs w:val="32"/>
          <w:highlight w:val="none"/>
          <w:shd w:val="clear" w:color="auto" w:fill="FFFFFF"/>
        </w:rPr>
        <w:t>，年中</w:t>
      </w:r>
      <w:r>
        <w:rPr>
          <w:rFonts w:hint="eastAsia" w:ascii="方正仿宋_GBK" w:hAnsi="方正仿宋_GBK" w:eastAsia="方正仿宋_GBK" w:cs="方正仿宋_GBK"/>
          <w:sz w:val="32"/>
          <w:szCs w:val="32"/>
          <w:highlight w:val="none"/>
          <w:shd w:val="clear" w:color="auto" w:fill="FFFFFF"/>
          <w:lang w:eastAsia="zh-CN"/>
        </w:rPr>
        <w:t>人员调动</w:t>
      </w:r>
      <w:r>
        <w:rPr>
          <w:rFonts w:hint="eastAsia"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600" w:lineRule="exact"/>
        <w:ind w:firstLine="792" w:firstLineChars="200"/>
        <w:jc w:val="both"/>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（8）社会保障与就业支出</w:t>
      </w:r>
      <w:r>
        <w:rPr>
          <w:rFonts w:ascii="方正仿宋_GBK" w:hAnsi="方正仿宋_GBK" w:eastAsia="方正仿宋_GBK" w:cs="方正仿宋_GBK"/>
          <w:sz w:val="32"/>
          <w:szCs w:val="32"/>
        </w:rPr>
        <w:t>119.71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23.16</w:t>
      </w:r>
      <w:r>
        <w:rPr>
          <w:rFonts w:ascii="方正仿宋_GBK" w:hAnsi="方正仿宋_GBK" w:eastAsia="方正仿宋_GBK" w:cs="方正仿宋_GBK"/>
          <w:sz w:val="32"/>
          <w:szCs w:val="32"/>
          <w:shd w:val="clear" w:color="auto" w:fill="FFFFFF"/>
        </w:rPr>
        <w:t>%，较年初预算数增加28.44万元，增长31.2%，主要原因是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年增加一次性退休补贴及</w:t>
      </w:r>
      <w:r>
        <w:rPr>
          <w:rFonts w:hint="eastAsia" w:ascii="方正仿宋_GBK" w:hAnsi="方正仿宋_GBK" w:eastAsia="方正仿宋_GBK" w:cs="方正仿宋_GBK"/>
          <w:sz w:val="32"/>
          <w:szCs w:val="32"/>
          <w:highlight w:val="none"/>
          <w:shd w:val="clear" w:color="auto" w:fill="FFFFFF"/>
          <w:lang w:eastAsia="zh-CN"/>
        </w:rPr>
        <w:t>追加职业年金</w:t>
      </w:r>
      <w:r>
        <w:rPr>
          <w:rFonts w:hint="eastAsia" w:ascii="方正仿宋_GBK" w:hAnsi="方正仿宋_GBK" w:eastAsia="方正仿宋_GBK" w:cs="方正仿宋_GBK"/>
          <w:sz w:val="32"/>
          <w:szCs w:val="32"/>
          <w:highlight w:val="none"/>
          <w:shd w:val="clear" w:color="auto" w:fill="FFFFFF"/>
        </w:rPr>
        <w:t>等。</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（9）卫生健康支出</w:t>
      </w:r>
      <w:r>
        <w:rPr>
          <w:rFonts w:ascii="方正仿宋_GBK" w:hAnsi="方正仿宋_GBK" w:eastAsia="方正仿宋_GBK" w:cs="方正仿宋_GBK"/>
          <w:sz w:val="32"/>
          <w:szCs w:val="32"/>
        </w:rPr>
        <w:t>20.22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3.91</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年年中无追加项目。</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bookmarkStart w:id="0" w:name="_GoBack"/>
      <w:bookmarkEnd w:id="0"/>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住房保障支出24.26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4.69</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年年中无追加项目。</w:t>
      </w:r>
    </w:p>
    <w:p>
      <w:pPr>
        <w:ind w:firstLine="792" w:firstLineChars="200"/>
        <w:rPr>
          <w:rFonts w:hint="default" w:ascii="方正仿宋_GBK" w:hAnsi="方正仿宋_GBK" w:eastAsia="方正仿宋_GBK" w:cs="方正仿宋_GBK"/>
          <w:color w:val="FF0000"/>
          <w:sz w:val="32"/>
          <w:szCs w:val="32"/>
          <w:shd w:val="clear" w:color="auto" w:fill="FFFFFF"/>
        </w:rPr>
      </w:pP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516.87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469.49</w:t>
      </w:r>
      <w:r>
        <w:rPr>
          <w:rFonts w:ascii="方正仿宋_GBK" w:hAnsi="方正仿宋_GBK" w:eastAsia="方正仿宋_GBK" w:cs="方正仿宋_GBK"/>
          <w:sz w:val="32"/>
          <w:szCs w:val="32"/>
          <w:shd w:val="clear" w:color="auto" w:fill="FFFFFF"/>
        </w:rPr>
        <w:t>万元，与2023年度相比，增加469.49万元，增长100.0%，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hint="eastAsia" w:ascii="方正仿宋_GBK" w:hAnsi="方正仿宋_GBK" w:eastAsia="方正仿宋_GBK" w:cs="方正仿宋_GBK"/>
          <w:sz w:val="32"/>
          <w:szCs w:val="32"/>
          <w:shd w:val="clear" w:color="auto" w:fill="FFFFFF"/>
        </w:rPr>
        <w:t>。人员经费用途主要包括基本工资、绩效工资、社会保障缴费、住房公积金、医疗费、其他职工福利支出、</w:t>
      </w:r>
      <w:r>
        <w:rPr>
          <w:rFonts w:hint="eastAsia" w:ascii="方正仿宋_GBK" w:hAnsi="方正仿宋_GBK" w:eastAsia="方正仿宋_GBK" w:cs="方正仿宋_GBK"/>
          <w:sz w:val="32"/>
          <w:szCs w:val="32"/>
          <w:shd w:val="clear" w:color="auto" w:fill="FFFFFF"/>
          <w:lang w:eastAsia="zh-CN"/>
        </w:rPr>
        <w:t>一次性退休补贴</w:t>
      </w:r>
      <w:r>
        <w:rPr>
          <w:rFonts w:hint="eastAsia" w:ascii="方正仿宋_GBK" w:hAnsi="方正仿宋_GBK" w:eastAsia="方正仿宋_GBK" w:cs="方正仿宋_GBK"/>
          <w:sz w:val="32"/>
          <w:szCs w:val="32"/>
          <w:shd w:val="clear" w:color="auto" w:fill="FFFFFF"/>
        </w:rPr>
        <w:t>、生活补助等经费。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47.38</w:t>
      </w:r>
      <w:r>
        <w:rPr>
          <w:rFonts w:ascii="方正仿宋_GBK" w:hAnsi="方正仿宋_GBK" w:eastAsia="方正仿宋_GBK" w:cs="方正仿宋_GBK"/>
          <w:sz w:val="32"/>
          <w:szCs w:val="32"/>
          <w:shd w:val="clear" w:color="auto" w:fill="FFFFFF"/>
        </w:rPr>
        <w:t>万元，与2023年度相比，增加47.38万元，增长100.0%，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hint="eastAsia" w:ascii="方正仿宋_GBK" w:hAnsi="方正仿宋_GBK" w:eastAsia="方正仿宋_GBK" w:cs="方正仿宋_GBK"/>
          <w:sz w:val="32"/>
          <w:szCs w:val="32"/>
          <w:shd w:val="clear" w:color="auto" w:fill="FFFFFF"/>
        </w:rPr>
        <w:t>。公用经费用途主要包括办公费、水电费、邮电费、差旅费、会议费、培训费，工会经费、其他商品和服务支出。</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sz w:val="32"/>
          <w:szCs w:val="32"/>
        </w:rPr>
      </w:pP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5"/>
        <w:snapToGrid w:val="0"/>
        <w:spacing w:before="0" w:beforeAutospacing="0" w:after="0" w:afterAutospacing="0" w:line="600" w:lineRule="exact"/>
        <w:ind w:firstLine="79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万元，较年初预算数无增减，主要原因是贯彻落实中央八项规定、压缩开支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hint="eastAsia" w:ascii="方正仿宋_GBK" w:hAnsi="方正仿宋_GBK" w:eastAsia="方正仿宋_GBK" w:cs="方正仿宋_GBK"/>
          <w:sz w:val="32"/>
          <w:szCs w:val="32"/>
          <w:shd w:val="clear" w:color="auto" w:fill="FFFFFF"/>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8.02</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rPr>
        <w:t>主要原因是贯彻落实中央八项规定、压缩开支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较上年支出数增加8.02万元，增长100.0%，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hint="eastAsia" w:ascii="方正仿宋_GBK" w:hAnsi="方正仿宋_GBK" w:eastAsia="方正仿宋_GBK" w:cs="方正仿宋_GBK"/>
          <w:sz w:val="32"/>
          <w:szCs w:val="32"/>
          <w:shd w:val="clear" w:color="auto" w:fill="FFFFFF"/>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600" w:lineRule="exact"/>
        <w:ind w:firstLine="79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万元，费用支出较年初预算数无增减，主要原因是贯彻落实中央八项规定、压缩开支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hint="eastAsia"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600" w:lineRule="exact"/>
        <w:ind w:firstLine="79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万元，费用支出较年初预算数无增减，主要原因是贯彻落实中央八项规定、压缩开支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hint="eastAsia"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600" w:lineRule="exact"/>
        <w:ind w:firstLine="79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万元，费用支出较年初预算数无增减，主要原因是贯彻落实中央八项规定、压缩开支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hint="eastAsia"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600" w:lineRule="exact"/>
        <w:ind w:firstLine="792" w:firstLineChars="200"/>
        <w:jc w:val="both"/>
        <w:rPr>
          <w:rFonts w:hint="eastAsia" w:ascii="方正仿宋_GBK" w:hAnsi="方正仿宋_GBK" w:eastAsia="方正仿宋_GBK" w:cs="方正仿宋_GBK"/>
          <w:sz w:val="32"/>
          <w:szCs w:val="32"/>
        </w:rPr>
      </w:pPr>
    </w:p>
    <w:p>
      <w:pPr>
        <w:pStyle w:val="5"/>
        <w:snapToGrid w:val="0"/>
        <w:spacing w:before="0" w:beforeAutospacing="0" w:after="0" w:afterAutospacing="0" w:line="600" w:lineRule="exact"/>
        <w:ind w:firstLine="79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万元，费用支出较年初预算数无增减，主要原因是贯彻落实中央八项规定、压缩开支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hint="eastAsia" w:ascii="方正仿宋_GBK" w:hAnsi="方正仿宋_GBK" w:eastAsia="方正仿宋_GBK" w:cs="方正仿宋_GBK"/>
          <w:sz w:val="32"/>
          <w:szCs w:val="32"/>
          <w:shd w:val="clear" w:color="auto" w:fill="FFFFFF"/>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rPr>
        <w:t>2024年政府下属事业站所开始独立核算</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财政未保障我单位会议费和培训费。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度本单位机关运行经费支出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机关运行经费主要用于开支办公费、印刷费、咨询费、手续费、劳务费、委托业务费、邮电费、维修（护）费、公务用车运行维护费、公务接待费、会议费、培训费。机关运行经费较上年支出数无增减，主要原因是</w:t>
      </w:r>
      <w:r>
        <w:rPr>
          <w:rFonts w:hint="eastAsia" w:ascii="方正仿宋_GBK" w:hAnsi="方正仿宋_GBK" w:eastAsia="方正仿宋_GBK" w:cs="方正仿宋_GBK"/>
          <w:i w:val="0"/>
          <w:iCs w:val="0"/>
          <w:caps w:val="0"/>
          <w:color w:val="333333"/>
          <w:spacing w:val="0"/>
          <w:sz w:val="32"/>
          <w:szCs w:val="32"/>
          <w:shd w:val="clear" w:fill="FFFFFF"/>
        </w:rPr>
        <w:t>2024年政府下属事业站所开始独立核算</w:t>
      </w:r>
      <w:r>
        <w:rPr>
          <w:rFonts w:hint="eastAsia" w:ascii="方正仿宋_GBK" w:hAnsi="方正仿宋_GBK" w:eastAsia="方正仿宋_GBK" w:cs="方正仿宋_GBK"/>
          <w:i w:val="0"/>
          <w:iCs w:val="0"/>
          <w:caps w:val="0"/>
          <w:color w:val="333333"/>
          <w:spacing w:val="0"/>
          <w:sz w:val="32"/>
          <w:szCs w:val="32"/>
          <w:shd w:val="clear" w:fill="FFFFFF"/>
          <w:lang w:eastAsia="zh-CN"/>
        </w:rPr>
        <w:t>，分开进行决算</w:t>
      </w:r>
      <w:r>
        <w:rPr>
          <w:rFonts w:hint="eastAsia" w:ascii="方正仿宋_GBK" w:hAnsi="方正仿宋_GBK" w:eastAsia="方正仿宋_GBK" w:cs="方正仿宋_GBK"/>
          <w:sz w:val="32"/>
          <w:szCs w:val="32"/>
          <w:shd w:val="clear" w:color="auto" w:fill="FFFFFF"/>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600" w:lineRule="exact"/>
        <w:ind w:firstLine="79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92" w:firstLineChars="200"/>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92"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9"/>
        <w:keepNext w:val="0"/>
        <w:keepLines w:val="0"/>
        <w:pageBreakBefore w:val="0"/>
        <w:widowControl/>
        <w:kinsoku/>
        <w:wordWrap/>
        <w:overflowPunct/>
        <w:topLinePunct w:val="0"/>
        <w:autoSpaceDE w:val="0"/>
        <w:autoSpaceDN/>
        <w:bidi w:val="0"/>
        <w:adjustRightInd/>
        <w:spacing w:beforeAutospacing="0" w:line="600" w:lineRule="exact"/>
        <w:ind w:firstLine="643"/>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本单位2024年部门整体绩效目标由巫溪县城厢镇人民政府统一填报公开</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我单位本年度无</w:t>
      </w:r>
      <w:r>
        <w:rPr>
          <w:rFonts w:hint="eastAsia" w:ascii="方正仿宋_GBK" w:hAnsi="方正仿宋_GBK" w:eastAsia="方正仿宋_GBK" w:cs="方正仿宋_GBK"/>
          <w:i w:val="0"/>
          <w:iCs w:val="0"/>
          <w:caps w:val="0"/>
          <w:color w:val="333333"/>
          <w:spacing w:val="0"/>
          <w:sz w:val="32"/>
          <w:szCs w:val="32"/>
          <w:shd w:val="clear" w:fill="FFFFFF"/>
        </w:rPr>
        <w:t>项目支出绩效自评。</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9"/>
        <w:keepNext w:val="0"/>
        <w:keepLines w:val="0"/>
        <w:pageBreakBefore w:val="0"/>
        <w:widowControl/>
        <w:kinsoku/>
        <w:wordWrap/>
        <w:overflowPunct/>
        <w:topLinePunct w:val="0"/>
        <w:autoSpaceDE w:val="0"/>
        <w:autoSpaceDN/>
        <w:bidi w:val="0"/>
        <w:adjustRightInd/>
        <w:spacing w:beforeAutospacing="0" w:line="600" w:lineRule="exact"/>
        <w:ind w:firstLine="643"/>
        <w:textAlignment w:val="auto"/>
        <w:rPr>
          <w:rFonts w:hint="default"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lang w:eastAsia="zh-CN"/>
        </w:rPr>
        <w:t>县</w:t>
      </w:r>
      <w:r>
        <w:rPr>
          <w:rFonts w:hint="eastAsia" w:ascii="方正仿宋_GBK" w:hAnsi="方正仿宋_GBK" w:eastAsia="方正仿宋_GBK" w:cs="方正仿宋_GBK"/>
          <w:i w:val="0"/>
          <w:iCs w:val="0"/>
          <w:caps w:val="0"/>
          <w:color w:val="333333"/>
          <w:spacing w:val="0"/>
          <w:sz w:val="32"/>
          <w:szCs w:val="32"/>
          <w:shd w:val="clear" w:fill="FFFFFF"/>
        </w:rPr>
        <w:t>财政局未委托第三方对我部门开展绩效评价。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79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E w:val="0"/>
        <w:autoSpaceDN/>
        <w:bidi w:val="0"/>
        <w:adjustRightInd/>
        <w:spacing w:beforeAutospacing="0" w:line="600" w:lineRule="exact"/>
        <w:ind w:firstLine="643"/>
        <w:textAlignment w:val="auto"/>
        <w:rPr>
          <w:rFonts w:hint="default"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lang w:eastAsia="zh-CN"/>
        </w:rPr>
        <w:t>县</w:t>
      </w:r>
      <w:r>
        <w:rPr>
          <w:rFonts w:hint="eastAsia" w:ascii="方正仿宋_GBK" w:hAnsi="方正仿宋_GBK" w:eastAsia="方正仿宋_GBK" w:cs="方正仿宋_GBK"/>
          <w:i w:val="0"/>
          <w:iCs w:val="0"/>
          <w:caps w:val="0"/>
          <w:color w:val="333333"/>
          <w:spacing w:val="0"/>
          <w:sz w:val="32"/>
          <w:szCs w:val="32"/>
          <w:shd w:val="clear" w:fill="FFFFFF"/>
        </w:rPr>
        <w:t>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余思祺</w:t>
      </w:r>
      <w:r>
        <w:rPr>
          <w:rFonts w:hint="default" w:ascii="方正仿宋_GBK" w:hAnsi="方正仿宋_GBK" w:eastAsia="方正仿宋_GBK" w:cs="方正仿宋_GBK"/>
          <w:color w:val="auto"/>
          <w:kern w:val="0"/>
          <w:sz w:val="32"/>
          <w:szCs w:val="32"/>
          <w:highlight w:val="none"/>
          <w:lang w:val="en-US" w:eastAsia="zh-CN" w:bidi="ar"/>
        </w:rPr>
        <w:t>51654</w:t>
      </w:r>
      <w:r>
        <w:rPr>
          <w:rFonts w:hint="eastAsia" w:ascii="方正仿宋_GBK" w:hAnsi="方正仿宋_GBK" w:eastAsia="方正仿宋_GBK" w:cs="方正仿宋_GBK"/>
          <w:color w:val="auto"/>
          <w:kern w:val="0"/>
          <w:sz w:val="32"/>
          <w:szCs w:val="32"/>
          <w:highlight w:val="none"/>
          <w:lang w:val="en-US" w:eastAsia="zh-CN" w:bidi="ar"/>
        </w:rPr>
        <w:t>0</w:t>
      </w:r>
      <w:r>
        <w:rPr>
          <w:rFonts w:hint="eastAsia" w:ascii="方正仿宋_GBK" w:hAnsi="方正仿宋_GBK" w:eastAsia="方正仿宋_GBK" w:cs="方正仿宋_GBK"/>
          <w:sz w:val="32"/>
          <w:szCs w:val="32"/>
          <w:shd w:val="clear" w:color="auto" w:fill="FFFFFF"/>
          <w:lang w:eastAsia="zh-CN"/>
        </w:rPr>
        <w:t>。</w:t>
      </w:r>
    </w:p>
    <w:p>
      <w:pPr>
        <w:pStyle w:val="9"/>
        <w:autoSpaceDE w:val="0"/>
        <w:ind w:firstLine="0" w:firstLineChars="0"/>
        <w:rPr>
          <w:rStyle w:val="8"/>
          <w:rFonts w:ascii="方正仿宋_GBK" w:hAnsi="方正仿宋_GBK" w:eastAsia="方正仿宋_GBK" w:cs="方正仿宋_GBK"/>
          <w:sz w:val="32"/>
          <w:szCs w:val="32"/>
          <w:shd w:val="clear" w:color="auto" w:fill="FFFF00"/>
        </w:rPr>
        <w:sectPr>
          <w:footerReference r:id="rId3" w:type="default"/>
          <w:pgSz w:w="11915" w:h="16840"/>
          <w:pgMar w:top="2098" w:right="1474" w:bottom="1474"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603" w:charSpace="15608"/>
        </w:sect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p>
    <w:p>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FF0000"/>
          <w:kern w:val="0"/>
          <w:sz w:val="32"/>
          <w:szCs w:val="32"/>
          <w:shd w:val="clear" w:fill="FFFFFF"/>
        </w:rPr>
        <w:t xml:space="preserve"> </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巫溪县文峰镇农业服务中心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516.87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516.87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516.87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516.87</w:t>
            </w:r>
          </w:p>
        </w:tc>
      </w:tr>
    </w:tbl>
    <w:p>
      <w:pPr>
        <w:pStyle w:val="9"/>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巫溪县文峰镇农业服务中心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516.87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516.87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巫溪县文峰镇农业服务中心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516.87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516.87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巫溪县文峰镇农业服务中心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巫溪县文峰镇农业服务中心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516.87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516.87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516.87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516.87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巫溪县文峰镇农业服务中心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425.16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469.49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47.38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巫溪县文峰镇农业服务中心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巫溪县文峰镇农业服务中心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巫溪县文峰镇农业服务中心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236</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1,452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9.00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OTM5NzBiODViMTZjZDBhOTQzZGFmZjRiNWZlNDk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5CF3845"/>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5563E7"/>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EFC1444"/>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BE80194"/>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8E12FA4"/>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237</TotalTime>
  <ScaleCrop>false</ScaleCrop>
  <LinksUpToDate>false</LinksUpToDate>
  <CharactersWithSpaces>21460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2025-09-15T06:40:49Z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481E557229D24851A44944B5C8C78030_13</vt:lpwstr>
  </property>
</Properties>
</file>