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巫溪县中梁乡人民政府</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w:t>
      </w:r>
      <w:r>
        <w:rPr>
          <w:rFonts w:hint="eastAsia"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20" w:firstLineChars="200"/>
        <w:jc w:val="both"/>
        <w:textAlignment w:val="auto"/>
        <w:rPr>
          <w:rFonts w:hint="eastAsia" w:ascii="方正小标宋_GBK" w:hAnsi="方正小标宋_GBK" w:eastAsia="方正小标宋_GBK" w:cs="方正小标宋_GBK"/>
          <w:sz w:val="36"/>
          <w:szCs w:val="36"/>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一、</w:t>
      </w:r>
      <w:r>
        <w:rPr>
          <w:rStyle w:val="9"/>
          <w:rFonts w:hint="eastAsia" w:ascii="方正黑体_GBK" w:hAnsi="方正黑体_GBK" w:eastAsia="方正黑体_GBK" w:cs="方正黑体_GBK"/>
          <w:sz w:val="32"/>
          <w:szCs w:val="32"/>
          <w:shd w:val="clear" w:color="auto" w:fill="FFFFFF"/>
          <w:lang w:eastAsia="zh-CN"/>
        </w:rPr>
        <w:t>部门</w:t>
      </w:r>
      <w:r>
        <w:rPr>
          <w:rStyle w:val="9"/>
          <w:rFonts w:hint="eastAsia" w:ascii="方正黑体_GBK" w:hAnsi="方正黑体_GBK" w:eastAsia="方正黑体_GBK" w:cs="方正黑体_GBK"/>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jc w:val="both"/>
        <w:textAlignment w:val="auto"/>
        <w:rPr>
          <w:rFonts w:hint="eastAsia"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中梁乡</w:t>
      </w:r>
      <w:r>
        <w:rPr>
          <w:rFonts w:hint="eastAsia" w:ascii="方正仿宋_GBK" w:hAnsi="方正仿宋_GBK" w:eastAsia="方正仿宋_GBK" w:cs="方正仿宋_GBK"/>
          <w:color w:val="000000"/>
          <w:kern w:val="0"/>
          <w:sz w:val="32"/>
          <w:szCs w:val="32"/>
          <w:lang w:bidi="ar"/>
        </w:rPr>
        <w:t>人民政府是本级人民代表大会的执行机关，是地方国家行政机关，主要职责为：</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促进经济发展。制定实施本</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经济发展规划，指导农村经济发展，推进农业结构调整，促进经济增长方式转变，发展壮大</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村集体经济；大力发展非公有制经济，推进农村市场经济体系的建设，发展现代农业和二、三产业，促进农民增收。</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（2）</w:t>
      </w:r>
      <w:r>
        <w:rPr>
          <w:rFonts w:hint="eastAsia" w:ascii="方正仿宋_GBK" w:hAnsi="方正仿宋_GBK" w:eastAsia="方正仿宋_GBK" w:cs="方正仿宋_GBK"/>
          <w:color w:val="000000"/>
          <w:kern w:val="0"/>
          <w:sz w:val="32"/>
          <w:szCs w:val="32"/>
          <w:lang w:bidi="ar"/>
        </w:rPr>
        <w:t>加强社会管理。制定实施本</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社会发展规划，负责抓好义务教育、人口和耕地和生态环境保护、民政事务、救灾救助、就业培训、社会保障、劳动关系协调和新型合作医疗实施等工作。依法履行上级赋予的监督管理权和行政处罚权，配合上级行政执法部门做好相关的行政执法工作。加强农村精神文明建设，促进农村社会事业发展。加强对上级部门派驻机构的协调和监督，强化</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财政、村级财务和集体资产的监督管理，建立健全减轻农民负担的监督管理机制，完善区域性、突发性事件的处置工作机制。</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搞好公共服务。加强</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维护社会稳定。加强社会治安综合治理，综合协调平安建设工作，强化信访、调解工作，化解农村社会矛盾，维护社会秩序；抓好法制宣传和普法教育，增强干部群众的法制意识，保护各种经济组织的合法权益和公民的合法财产权，保障公民人身权利、民主权利和其他权利。</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法律、法规、规章和上级规定的其他事项</w:t>
      </w:r>
      <w:r>
        <w:rPr>
          <w:rFonts w:hint="eastAsia" w:ascii="方正仿宋_GBK" w:hAnsi="方正仿宋_GBK" w:eastAsia="方正仿宋_GBK" w:cs="方正仿宋_GBK"/>
          <w:color w:val="000000"/>
          <w:kern w:val="0"/>
          <w:sz w:val="32"/>
          <w:szCs w:val="32"/>
          <w:lang w:eastAsia="zh-CN" w:bidi="ar"/>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jc w:val="both"/>
        <w:textAlignment w:val="auto"/>
        <w:rPr>
          <w:rFonts w:hint="eastAsia" w:ascii="方正黑体_GBK" w:hAnsi="方正黑体_GBK" w:eastAsia="方正黑体_GBK" w:cs="方正黑体_GBK"/>
          <w:sz w:val="32"/>
          <w:szCs w:val="32"/>
        </w:rPr>
      </w:pPr>
      <w:r>
        <w:rPr>
          <w:rStyle w:val="9"/>
          <w:rFonts w:hint="eastAsia" w:ascii="方正黑体_GBK" w:hAnsi="方正黑体_GBK" w:eastAsia="方正黑体_GBK" w:cs="方正黑体_GBK"/>
          <w:sz w:val="32"/>
          <w:szCs w:val="32"/>
          <w:shd w:val="clear" w:color="auto" w:fill="FFFFFF"/>
        </w:rPr>
        <w:t>（二）机构设置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000000"/>
          <w:kern w:val="0"/>
          <w:sz w:val="32"/>
          <w:szCs w:val="32"/>
          <w:lang w:val="en-US" w:eastAsia="zh-CN" w:bidi="ar"/>
        </w:rPr>
        <w:t>中梁乡设置下设机构2个，1个行政的单位：巫溪县中梁乡人民政府，1个事业单位：中梁乡农业发展服务中心。分别有17个行政编制，实有14名行政人员，11个事业编制，实有10名事业人员。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二、</w:t>
      </w:r>
      <w:r>
        <w:rPr>
          <w:rStyle w:val="9"/>
          <w:rFonts w:hint="eastAsia" w:ascii="方正黑体_GBK" w:hAnsi="方正黑体_GBK" w:eastAsia="方正黑体_GBK" w:cs="方正黑体_GBK"/>
          <w:sz w:val="32"/>
          <w:szCs w:val="32"/>
          <w:shd w:val="clear" w:color="auto" w:fill="FFFFFF"/>
          <w:lang w:eastAsia="zh-CN"/>
        </w:rPr>
        <w:t>部门</w:t>
      </w:r>
      <w:r>
        <w:rPr>
          <w:rStyle w:val="9"/>
          <w:rFonts w:hint="eastAsia" w:ascii="方正黑体_GBK" w:hAnsi="方正黑体_GBK" w:eastAsia="方正黑体_GBK" w:cs="方正黑体_GBK"/>
          <w:sz w:val="32"/>
          <w:szCs w:val="32"/>
          <w:shd w:val="clear" w:color="auto" w:fill="FFFFFF"/>
        </w:rPr>
        <w:t>决算</w:t>
      </w:r>
      <w:r>
        <w:rPr>
          <w:rStyle w:val="9"/>
          <w:rFonts w:hint="eastAsia" w:ascii="方正黑体_GBK" w:hAnsi="方正黑体_GBK" w:eastAsia="方正黑体_GBK" w:cs="方正黑体_GBK"/>
          <w:sz w:val="32"/>
          <w:szCs w:val="32"/>
          <w:shd w:val="clear" w:color="auto" w:fill="FFFFFF"/>
          <w:lang w:eastAsia="zh-CN"/>
        </w:rPr>
        <w:t>收支</w:t>
      </w:r>
      <w:r>
        <w:rPr>
          <w:rStyle w:val="9"/>
          <w:rFonts w:hint="eastAsia" w:ascii="方正黑体_GBK" w:hAnsi="方正黑体_GBK" w:eastAsia="方正黑体_GBK" w:cs="方正黑体_GBK"/>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1.总体情况。</w:t>
      </w:r>
      <w:r>
        <w:rPr>
          <w:rFonts w:hint="eastAsia" w:ascii="Times New Roman" w:hAnsi="Times New Roman" w:eastAsia="仿宋_GB2312" w:cs="仿宋_GB2312"/>
          <w:color w:val="000000"/>
          <w:kern w:val="0"/>
          <w:sz w:val="32"/>
          <w:szCs w:val="32"/>
          <w:lang w:val="en-US" w:eastAsia="zh-CN" w:bidi="ar"/>
        </w:rPr>
        <w:t>2024年度收入总计2120.93万元，支出总计2120.93万元。收、支与2023年度相比，增加1054.81万元，增长98.9%，主要原因是2024年较上年增加了巫溪县中梁乡星溪村2024年扶持新型农村集体经济项目，巫溪县2024年中梁乡中梁水库生态鱼养殖基地建设项目等大量项目。</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2.收入情况。</w:t>
      </w:r>
      <w:r>
        <w:rPr>
          <w:rFonts w:hint="eastAsia" w:ascii="Times New Roman" w:hAnsi="Times New Roman" w:eastAsia="仿宋_GB2312" w:cs="仿宋_GB2312"/>
          <w:color w:val="000000"/>
          <w:kern w:val="0"/>
          <w:sz w:val="32"/>
          <w:szCs w:val="32"/>
          <w:lang w:val="en-US" w:eastAsia="zh-CN" w:bidi="ar"/>
        </w:rPr>
        <w:t>2024年度收入合计2120.93万元，与2023年度相比，增加1054.81万元，增长98.9%，主要原因是2024年较上年增加了巫溪县中梁乡星溪村2024年扶持新型农村集体经济项目，巫溪县2024年中梁乡中梁水库生态鱼养殖基地建设项目等大量项目。其中：财政拨款收入2120.93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3.支出情况。</w:t>
      </w:r>
      <w:r>
        <w:rPr>
          <w:rFonts w:hint="eastAsia" w:ascii="Times New Roman" w:hAnsi="Times New Roman" w:eastAsia="仿宋_GB2312" w:cs="仿宋_GB2312"/>
          <w:color w:val="000000"/>
          <w:kern w:val="0"/>
          <w:sz w:val="32"/>
          <w:szCs w:val="32"/>
          <w:lang w:val="en-US" w:eastAsia="zh-CN" w:bidi="ar"/>
        </w:rPr>
        <w:t>2024年度支出合计2120.93万元，与2023年度相比，增加1054.81万元，增长98.9%，主要原因是2024年较上年增加了巫溪县中梁乡星溪村2024年扶持新型农村集体经济项目，巫溪县2024年中梁乡中梁水库生态鱼养殖基地建设项目等大量项目。其中：基本支出638.04万元，占30.08%；项目支出1482.89万元，占69.92%；经营支出0.00万元，占0.00%。此外，结余分配0.00万元。</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bidi="ar"/>
        </w:rPr>
      </w:pPr>
      <w:r>
        <w:rPr>
          <w:rFonts w:hint="eastAsia" w:ascii="Times New Roman" w:hAnsi="Times New Roman" w:eastAsia="仿宋_GB2312" w:cs="仿宋_GB2312"/>
          <w:b/>
          <w:bCs/>
          <w:color w:val="000000"/>
          <w:kern w:val="0"/>
          <w:sz w:val="32"/>
          <w:szCs w:val="32"/>
          <w:lang w:val="en-US" w:eastAsia="zh-CN" w:bidi="ar"/>
        </w:rPr>
        <w:t>4.结转结余情况。</w:t>
      </w:r>
      <w:r>
        <w:rPr>
          <w:rFonts w:hint="eastAsia" w:ascii="Times New Roman" w:hAnsi="Times New Roman" w:eastAsia="仿宋_GB2312" w:cs="仿宋_GB2312"/>
          <w:color w:val="000000"/>
          <w:kern w:val="0"/>
          <w:sz w:val="32"/>
          <w:szCs w:val="32"/>
          <w:lang w:val="en-US" w:eastAsia="zh-CN" w:bidi="ar"/>
        </w:rPr>
        <w:t>2024年度年末结转和结余0.00万元，与2023年度相比，无增减，主要原因是我乡每年年末均无结转结余。</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财政拨款收、支总计2120.93万元。与2023年相比，财政拨款收、支总计各增加1054.81万元，增长98.9%。主要原因是2024年较上年增加了巫溪县中梁乡星溪村2024年扶持新型农村集体经济项目，巫溪县2024年中梁乡中梁水库生态鱼养殖基地建设项目等大量项目。</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1.收入情况。</w:t>
      </w:r>
      <w:r>
        <w:rPr>
          <w:rFonts w:hint="eastAsia" w:ascii="Times New Roman" w:hAnsi="Times New Roman" w:eastAsia="仿宋_GB2312" w:cs="仿宋_GB2312"/>
          <w:color w:val="000000"/>
          <w:kern w:val="0"/>
          <w:sz w:val="32"/>
          <w:szCs w:val="32"/>
          <w:lang w:val="en-US" w:eastAsia="zh-CN" w:bidi="ar"/>
        </w:rPr>
        <w:t>2024年度一般公共预算财政拨款收入2120.93万元，与2023年度相比，增加1054.81万元，增长98.9%。主要原因是2024年较上年增加了巫溪县中梁乡星溪村2024年扶持新型农村集体经济项目，巫溪县2024年中梁乡中梁水库生态鱼养殖基地建设项目等大量项目。较年初预算数增加1359.93万元，增长178.7%。主要原因是项目资金未进入年初预算，而是在年中进行追加。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2.支出情况。</w:t>
      </w:r>
      <w:r>
        <w:rPr>
          <w:rFonts w:hint="eastAsia" w:ascii="Times New Roman" w:hAnsi="Times New Roman" w:eastAsia="仿宋_GB2312" w:cs="仿宋_GB2312"/>
          <w:color w:val="000000"/>
          <w:kern w:val="0"/>
          <w:sz w:val="32"/>
          <w:szCs w:val="32"/>
          <w:lang w:val="en-US" w:eastAsia="zh-CN" w:bidi="ar"/>
        </w:rPr>
        <w:t>2024年度一般公共预算财政拨款支出2120.93万元，与2023年度相比，增加1054.81万元，增长98.9%。主要原因是2024年较上年增加了巫溪县中梁乡星溪村2024年扶持新型农村集体经济项目，巫溪县2024年中梁乡中梁水库生态鱼养殖基地建设项目等大量项目。较年初预算数增加1359.93万元，增长178.7%。主要原因是项目资金未进入年初预算，而是在年中进行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3.结转结余情况。</w:t>
      </w:r>
      <w:r>
        <w:rPr>
          <w:rFonts w:hint="eastAsia" w:ascii="Times New Roman" w:hAnsi="Times New Roman" w:eastAsia="仿宋_GB2312" w:cs="仿宋_GB2312"/>
          <w:color w:val="000000"/>
          <w:kern w:val="0"/>
          <w:sz w:val="32"/>
          <w:szCs w:val="32"/>
          <w:lang w:val="en-US" w:eastAsia="zh-CN" w:bidi="ar"/>
        </w:rPr>
        <w:t>2024年度年末一般公共预算财政拨款结转和结余0.00万元，与2023年度相比，无增减，主要原因是我乡每年年末均无结转结余。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4.比较情况。</w:t>
      </w:r>
      <w:r>
        <w:rPr>
          <w:rFonts w:hint="eastAsia" w:ascii="Times New Roman" w:hAnsi="Times New Roman" w:eastAsia="仿宋_GB2312" w:cs="仿宋_GB2312"/>
          <w:color w:val="000000"/>
          <w:kern w:val="0"/>
          <w:sz w:val="32"/>
          <w:szCs w:val="32"/>
          <w:lang w:val="en-US" w:eastAsia="zh-CN" w:bidi="ar"/>
        </w:rPr>
        <w:t>本部门2024年度一般公共预算财政拨款支出主要用于以下几个方面：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（1）一般公共服务支出401.87万元，占18.95%，较年初预算数减少18.25万元，下降4.3%，主要原因是有1名行政人员调出县外，1名事业人员辞职。</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（2）社会保障与就业支出181.76万元，占8.57%，较年初预算数增加61.92万元，增长51.7%，主要原因是部分资金未进入年初预算，而是在年中进行追加。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（3）卫生健康支出26.39万元，占1.24%，较年初预算数无增减，主要原因是年中未调整预算。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（4）节能环保支出42.34万元，占2.00%，较年初预算数增加42.34万元，增长100.0%，主要原因是年中追加了生态护林员管护等项目。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（5）农林水支出1238.71万元，占58.40%，较年初预算数增加1079.16万元，增长676.4%，主要原因是年中追加了动物防疫、公益性岗位、跨区域交通补助、安全饮水等多个项目。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（6）交通运输支出166.00万元，占7.83%，较年初预算数增加166.00万元，增长100.0%，主要原因是年中追加了公路建设等项目。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（7）住房保障支出45.62万元，占2.15%，较年初预算数增加10.50万元，增长29.9%，主要原因是是年中追加了农村危房改造等项目。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仿宋_GB2312" w:cs="仿宋_GB2312"/>
          <w:color w:val="000000"/>
          <w:kern w:val="0"/>
          <w:sz w:val="32"/>
          <w:szCs w:val="32"/>
          <w:lang w:val="en-US" w:eastAsia="zh-CN" w:bidi="ar"/>
        </w:rPr>
        <w:t>（8）灾害防治及应急管理支出18.26万元，占0.86%，较年初预算数增加18.26万元，增长100.0%，主要原因是是年中追加了市级自然灾害救灾补助资金，中央自然灾害救灾补助资金等项目。</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 2024年度一般公共财政拨款基本支出638.04万元。其中：人员经费546.94万元，与2023年度相比，增加82.38万元，增长17.7%，主要原因是人员的变动。人员经费用途主要包括基本工资、津贴补贴、奖金、绩效工资、社会保障缴费、住房公积金、医疗费、其他工资福利支出。公用经费91.11万元，与2023年度相比，增加9.83万元，增长12.1%，主要原因是物价上涨和成本上升。公用经费用途主要包括办公费、印刷费、水费、电费、差旅费、公务接待费、福利费、其他商品和服务支出、公务用车运行维护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00" w:firstLineChars="200"/>
        <w:jc w:val="both"/>
        <w:textAlignment w:val="auto"/>
        <w:rPr>
          <w:rFonts w:hint="default" w:ascii="Times New Roman" w:hAnsi="Times New Roman" w:eastAsia="仿宋_GB2312" w:cs="仿宋_GB2312"/>
          <w:color w:val="000000"/>
          <w:kern w:val="0"/>
          <w:sz w:val="30"/>
          <w:szCs w:val="30"/>
          <w:lang w:val="en-US" w:eastAsia="zh-CN" w:bidi="ar"/>
        </w:rPr>
      </w:pPr>
      <w:r>
        <w:rPr>
          <w:rFonts w:hint="eastAsia" w:ascii="Times New Roman" w:hAnsi="Times New Roman" w:eastAsia="仿宋_GB2312" w:cs="仿宋_GB2312"/>
          <w:color w:val="000000"/>
          <w:kern w:val="0"/>
          <w:sz w:val="30"/>
          <w:szCs w:val="30"/>
          <w:lang w:val="en-US" w:eastAsia="zh-CN" w:bidi="ar"/>
        </w:rPr>
        <w:t> 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2024年度“三公”经费支出共计9.00万元，较年初预算数无增减，主要原因是年中未调整预算。较上年支出数减少3.00万元，下降25.0%，主要原因是政策调控收紧，减少了“三公”经费支出。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部门因公出国（境）费用0.00万元，主要是用于因公出国（境）相关费用。费用支出较年初预算数无增减，主要原因是贯彻落实中央八项规定、压缩开支，年中未调整预算。与2023年度相比，无增减，主要原因是本单位2023年-2024年度均未发生因公出国（境）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公务车购置费0.00万元，主要用于购买公务用车等。费用支出较年初预算数无增减。费用支出较年初预算数无增减，主要原因是贯彻落实中央八项规定、压缩开支，年中未调整预算。与2023年度相比，无增减，主要原因是本单位2023年-2024年度均未发生公务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 公务车运行维护费7.00万元，主要用于公车维修，公车加油等。费用支出较年初预算数无增减，主要原因是贯彻落实中央八项规定、压缩开支，年中未调整预算。较上年支出数无增减，主要原因是年中未调整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公务接待费2.00万元，主要用于接待所产生的住宿费，用餐费等。费用支出较年初预算数无增减，主要原因是贯彻落实中央八项规定、压缩开支，年中未调整预算。较上年支出数减少3.00万元，下降60.0%，主要原因是政策调控收紧，减少了公务接待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 xml:space="preserve"> 2024年度本部门因公出国（境）共计0个团组，0人；公务用车购置0辆，公务车保有量为3辆；国内公务接待80批次350人，其中：国内外事接待0批次，0人；国（境）外公务接待0批次，0人。2024年本部门人均接待费57.14元，车均购置费0万元，车均维护费2.33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年度会议费支出10.70万元，与2023年度相比，增加4.80万元，增长81.4%，主要原因是2024年会议数量和会议材料成本较上年均有所增加。。本年度培训费支出0.50万元，与2023年度相比，减少0.50万元，下降50.0%，主要原因</w:t>
      </w:r>
      <w:r>
        <w:rPr>
          <w:rFonts w:hint="default" w:ascii="Times New Roman" w:hAnsi="Times New Roman" w:eastAsia="仿宋_GB2312" w:cs="仿宋_GB2312"/>
          <w:color w:val="000000"/>
          <w:kern w:val="0"/>
          <w:sz w:val="32"/>
          <w:szCs w:val="32"/>
          <w:lang w:val="en-US" w:eastAsia="zh-CN" w:bidi="ar"/>
        </w:rPr>
        <w:t>是</w:t>
      </w:r>
      <w:r>
        <w:rPr>
          <w:rFonts w:hint="eastAsia" w:ascii="Times New Roman" w:hAnsi="Times New Roman" w:eastAsia="仿宋_GB2312" w:cs="仿宋_GB2312"/>
          <w:color w:val="000000"/>
          <w:kern w:val="0"/>
          <w:sz w:val="32"/>
          <w:szCs w:val="32"/>
          <w:lang w:val="en-US" w:eastAsia="zh-CN" w:bidi="ar"/>
        </w:rPr>
        <w:t>严格控制了培训费支出。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部门机关运行经费支出68.82万元，机关运行经费主要用于开支办公费、印刷费、咨询费、手续费、会议费、培训费、公务接待费等。机关运行经费较上年支出数增加9.72万元，增长16.5%，主要原因是会议数量增加导致会议费增加，物价上涨导致办公费增加。</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截至2024年12月31日，本部门共有车辆3辆，其中，副部（省）级及以上领导用车0辆、主要负责人用车0辆、机要通信用车0辆、应急保障用车2辆、执法执勤用车0辆，特种专业技术用车1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2024年度本部门政府采购支出总额49.78万元，其中：</w:t>
      </w:r>
      <w:bookmarkStart w:id="0" w:name="_GoBack"/>
      <w:bookmarkEnd w:id="0"/>
      <w:r>
        <w:rPr>
          <w:rFonts w:hint="eastAsia" w:ascii="方正仿宋_GBK" w:hAnsi="方正仿宋_GBK" w:eastAsia="方正仿宋_GBK" w:cs="方正仿宋_GBK"/>
          <w:color w:val="000000"/>
          <w:kern w:val="0"/>
          <w:sz w:val="32"/>
          <w:szCs w:val="32"/>
          <w:lang w:val="en-US" w:eastAsia="zh-CN" w:bidi="ar"/>
        </w:rPr>
        <w:t>政府采购货物支出49.78万元、政府采购工程支出0.00万元、政府采购服务支出0.00万元。授予中小企业合同金额49.78万元，占政府采购支出总额的100.00%，其中：授予小微企业合同金额49.78万元，占政府采购支出总额的100.00 %。主要用于采购计算机，鱼苗。</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应当参照如下格式说明：根据预算绩效管理要求，我部门（单位）对部门整体和1个一级项目、55个二级项目开展了绩效自评，涉及财政拨款项目支出资金2120.93万元。</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9"/>
        <w:gridCol w:w="526"/>
        <w:gridCol w:w="146"/>
        <w:gridCol w:w="569"/>
        <w:gridCol w:w="876"/>
        <w:gridCol w:w="796"/>
        <w:gridCol w:w="847"/>
        <w:gridCol w:w="730"/>
        <w:gridCol w:w="730"/>
        <w:gridCol w:w="424"/>
        <w:gridCol w:w="555"/>
        <w:gridCol w:w="570"/>
        <w:gridCol w:w="65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ascii="微软雅黑" w:hAnsi="微软雅黑" w:eastAsia="微软雅黑" w:cs="微软雅黑"/>
                <w:color w:val="333333"/>
                <w:sz w:val="18"/>
                <w:szCs w:val="18"/>
              </w:rPr>
              <w:t>年度部门整体绩效自评表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color w:val="333333"/>
                <w:sz w:val="18"/>
                <w:szCs w:val="18"/>
              </w:rPr>
              <w:t>巫溪县中梁乡人民政府整体</w:t>
            </w:r>
            <w:r>
              <w:rPr>
                <w:rFonts w:hint="eastAsia" w:cs="宋体"/>
                <w:color w:val="333333"/>
                <w:sz w:val="18"/>
                <w:szCs w:val="18"/>
                <w:lang w:val="en-US" w:eastAsia="zh-CN"/>
              </w:rPr>
              <w:t>监控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50023800024P000097</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100.00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333333"/>
                <w:sz w:val="24"/>
                <w:szCs w:val="24"/>
              </w:rPr>
            </w:pP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lang w:val="en-US" w:eastAsia="zh-CN"/>
              </w:rPr>
              <w:t>谭星星</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三公经费，合理高效利用资金，使资金广泛用于中梁乡的社会经济发展。</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三公经费，合理高效利用资金，使资金广泛用于中梁乡的社会经济发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行政管理效率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年度预决算按时公开率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年度目标考核任务完成率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补助惠民惠农政策落实率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产业发展、基础设施建设水平</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定性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明显改善</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全部完成</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政务服务居民满意度</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
        <w:gridCol w:w="923"/>
        <w:gridCol w:w="484"/>
        <w:gridCol w:w="717"/>
        <w:gridCol w:w="1857"/>
        <w:gridCol w:w="177"/>
        <w:gridCol w:w="468"/>
        <w:gridCol w:w="468"/>
        <w:gridCol w:w="549"/>
        <w:gridCol w:w="78"/>
        <w:gridCol w:w="483"/>
        <w:gridCol w:w="378"/>
        <w:gridCol w:w="212"/>
        <w:gridCol w:w="253"/>
        <w:gridCol w:w="133"/>
        <w:gridCol w:w="33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hint="eastAsia" w:ascii="微软雅黑" w:hAnsi="微软雅黑" w:eastAsia="微软雅黑" w:cs="微软雅黑"/>
                <w:color w:val="333333"/>
                <w:sz w:val="18"/>
                <w:szCs w:val="18"/>
              </w:rPr>
              <w:t>年度二级项目绩效自评表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中梁乡烟草产业发展项目（溪烟草组办发〔202</w:t>
            </w:r>
            <w:r>
              <w:rPr>
                <w:rFonts w:hint="eastAsia" w:cs="宋体"/>
                <w:color w:val="333333"/>
                <w:sz w:val="18"/>
                <w:szCs w:val="18"/>
                <w:lang w:val="en-US" w:eastAsia="zh-CN"/>
              </w:rPr>
              <w:t>4</w:t>
            </w:r>
            <w:r>
              <w:rPr>
                <w:rFonts w:hint="eastAsia" w:ascii="宋体" w:hAnsi="宋体" w:eastAsia="宋体" w:cs="宋体"/>
                <w:color w:val="333333"/>
                <w:sz w:val="18"/>
                <w:szCs w:val="18"/>
              </w:rPr>
              <w:t>〕7号）</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50023825T000004591570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100.00</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谢守勇</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对中梁乡2023年辖区内20座烤房管护、占地进行补助。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补助烤房数量</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套</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补助支付及时率</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补助金额</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元</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群众收入得到增长</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定性</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收入得到增长</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333333"/>
                <w:sz w:val="18"/>
                <w:szCs w:val="18"/>
                <w:lang w:val="en-US" w:eastAsia="zh-CN"/>
              </w:rPr>
            </w:pPr>
            <w:r>
              <w:rPr>
                <w:rFonts w:hint="eastAsia" w:cs="宋体"/>
                <w:color w:val="333333"/>
                <w:sz w:val="18"/>
                <w:szCs w:val="18"/>
                <w:lang w:val="en-US" w:eastAsia="zh-CN"/>
              </w:rPr>
              <w:t>全部完成</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群众满意度</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我单位组织开展了绩效评价。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2"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9"/>
          <w:rFonts w:hint="eastAsia" w:ascii="黑体" w:hAnsi="黑体" w:eastAsia="黑体" w:cs="黑体"/>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（一）财政拨款收入：</w:t>
      </w:r>
      <w:r>
        <w:rPr>
          <w:rFonts w:hint="eastAsia" w:ascii="Times New Roman" w:hAnsi="Times New Roman" w:eastAsia="仿宋_GB2312" w:cs="仿宋_GB2312"/>
          <w:color w:val="000000"/>
          <w:kern w:val="0"/>
          <w:sz w:val="32"/>
          <w:szCs w:val="32"/>
          <w:lang w:val="en-US" w:eastAsia="zh-CN" w:bidi="ar"/>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（二）事业收入：</w:t>
      </w:r>
      <w:r>
        <w:rPr>
          <w:rFonts w:hint="eastAsia" w:ascii="Times New Roman" w:hAnsi="Times New Roman" w:eastAsia="仿宋_GB2312" w:cs="仿宋_GB2312"/>
          <w:color w:val="000000"/>
          <w:kern w:val="0"/>
          <w:sz w:val="32"/>
          <w:szCs w:val="32"/>
          <w:lang w:val="en-US" w:eastAsia="zh-CN" w:bidi="ar"/>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（三）经营收入：</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（四）其他收入：</w:t>
      </w:r>
      <w:r>
        <w:rPr>
          <w:rFonts w:hint="eastAsia" w:ascii="Times New Roman" w:hAnsi="Times New Roman" w:eastAsia="仿宋_GB2312" w:cs="仿宋_GB2312"/>
          <w:color w:val="00000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Times New Roman" w:hAnsi="Times New Roman" w:eastAsia="仿宋_GB2312" w:cs="仿宋_GB2312"/>
          <w:color w:val="00000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Times New Roman" w:hAnsi="Times New Roman" w:eastAsia="仿宋_GB2312" w:cs="仿宋_GB2312"/>
          <w:color w:val="000000"/>
          <w:kern w:val="0"/>
          <w:sz w:val="32"/>
          <w:szCs w:val="32"/>
          <w:lang w:val="en-US" w:eastAsia="zh-CN" w:bidi="ar"/>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（七）结余分配：</w:t>
      </w:r>
      <w:r>
        <w:rPr>
          <w:rFonts w:hint="eastAsia" w:ascii="Times New Roman" w:hAnsi="Times New Roman" w:eastAsia="仿宋_GB2312" w:cs="仿宋_GB2312"/>
          <w:color w:val="000000"/>
          <w:kern w:val="0"/>
          <w:sz w:val="32"/>
          <w:szCs w:val="32"/>
          <w:lang w:val="en-US" w:eastAsia="zh-CN" w:bidi="ar"/>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Times New Roman" w:hAnsi="Times New Roman" w:eastAsia="仿宋_GB2312" w:cs="仿宋_GB2312"/>
          <w:color w:val="000000"/>
          <w:kern w:val="0"/>
          <w:sz w:val="32"/>
          <w:szCs w:val="32"/>
          <w:lang w:val="en-US" w:eastAsia="zh-CN" w:bidi="ar"/>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（九）基本支出：</w:t>
      </w:r>
      <w:r>
        <w:rPr>
          <w:rFonts w:hint="eastAsia" w:ascii="Times New Roman" w:hAnsi="Times New Roman" w:eastAsia="仿宋_GB2312" w:cs="仿宋_GB2312"/>
          <w:color w:val="00000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（十）项目支出：</w:t>
      </w:r>
      <w:r>
        <w:rPr>
          <w:rFonts w:hint="eastAsia" w:ascii="Times New Roman" w:hAnsi="Times New Roman" w:eastAsia="仿宋_GB2312" w:cs="仿宋_GB2312"/>
          <w:color w:val="000000"/>
          <w:kern w:val="0"/>
          <w:sz w:val="32"/>
          <w:szCs w:val="32"/>
          <w:lang w:val="en-US" w:eastAsia="zh-CN" w:bidi="ar"/>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（十一）经营支出：</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（十二）“三公”经费：</w:t>
      </w:r>
      <w:r>
        <w:rPr>
          <w:rFonts w:hint="eastAsia" w:ascii="Times New Roman" w:hAnsi="Times New Roman" w:eastAsia="仿宋_GB2312" w:cs="仿宋_GB2312"/>
          <w:color w:val="00000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Times New Roman" w:hAnsi="Times New Roman" w:eastAsia="仿宋_GB2312" w:cs="仿宋_GB2312"/>
          <w:color w:val="00000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Times New Roman" w:hAnsi="Times New Roman" w:eastAsia="仿宋_GB2312" w:cs="仿宋_GB2312"/>
          <w:color w:val="000000"/>
          <w:kern w:val="0"/>
          <w:sz w:val="32"/>
          <w:szCs w:val="32"/>
          <w:lang w:val="en-US" w:eastAsia="zh-CN" w:bidi="ar"/>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仿宋_GB2312" w:cs="仿宋_GB2312"/>
          <w:color w:val="000000"/>
          <w:kern w:val="0"/>
          <w:sz w:val="32"/>
          <w:szCs w:val="32"/>
          <w:lang w:val="en-US" w:eastAsia="zh-CN" w:bidi="ar"/>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仿宋_GB2312" w:cs="仿宋_GB2312"/>
          <w:color w:val="000000"/>
          <w:kern w:val="0"/>
          <w:sz w:val="32"/>
          <w:szCs w:val="32"/>
          <w:lang w:val="en-US" w:eastAsia="zh-CN" w:bidi="ar"/>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仿宋_GB2312" w:cs="仿宋_GB2312"/>
          <w:color w:val="00000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 023-51417520</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巫溪县中梁乡人民政府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2,120.93</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巫溪县中梁乡人民政府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2,120.93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2,120.93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巫溪县中梁乡人民政府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2,120.93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638.04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1,482.89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2,120.93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638.04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2,120.93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638.04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438.35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546.94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91.11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本年无政府性基金预算财政拨款收支，故此表无数据。</w:t>
      </w: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巫溪县中梁乡人民政府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本年无国有资本经营预算财政拨款收支，故此表无数据。</w:t>
      </w: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巫溪县中梁乡人民政府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10.70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C964060"/>
    <w:rsid w:val="2D5F4C37"/>
    <w:rsid w:val="2D8332EB"/>
    <w:rsid w:val="2FE029D7"/>
    <w:rsid w:val="2FF06E00"/>
    <w:rsid w:val="304721A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D163E3"/>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6A6ACC"/>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8B35F8"/>
    <w:rsid w:val="64FB113D"/>
    <w:rsid w:val="6544377C"/>
    <w:rsid w:val="655F5939"/>
    <w:rsid w:val="656152C6"/>
    <w:rsid w:val="6587477F"/>
    <w:rsid w:val="658C3A08"/>
    <w:rsid w:val="65C031CA"/>
    <w:rsid w:val="65CE6852"/>
    <w:rsid w:val="65F004F9"/>
    <w:rsid w:val="66267C04"/>
    <w:rsid w:val="663F505A"/>
    <w:rsid w:val="66565FA9"/>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3E05F4"/>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2</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 </cp:lastModifiedBy>
  <dcterms:modified xsi:type="dcterms:W3CDTF">2025-09-22T10:22:05Z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