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巫溪县中梁乡农业服务中心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ascii="黑体" w:hAnsi="黑体" w:eastAsia="黑体" w:cs="黑体"/>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eastAsia" w:ascii="方正仿宋_GBK" w:hAnsi="方正仿宋_GBK" w:eastAsia="方正仿宋_GBK" w:cs="方正仿宋_GBK"/>
          <w:color w:val="333333"/>
          <w:sz w:val="31"/>
          <w:szCs w:val="31"/>
        </w:rPr>
      </w:pPr>
      <w:r>
        <w:rPr>
          <w:rFonts w:hint="eastAsia" w:ascii="Times New Roman" w:hAnsi="Times New Roman" w:eastAsia="仿宋_GB2312" w:cs="仿宋_GB2312"/>
          <w:color w:val="000000"/>
          <w:kern w:val="0"/>
          <w:sz w:val="32"/>
          <w:szCs w:val="32"/>
          <w:lang w:val="en-US" w:eastAsia="zh-CN" w:bidi="ar"/>
        </w:rPr>
        <w:t>中梁乡农业发展服务中心是巫溪县人民政府的下设机构。部门现行的职能职责主要包括：认真贯彻执行党和国家的各项方针、政策；负责辖区内的农业、畜牧、水产、林业、水利等技术推广和服务工作；承办县委、县政府交办的其他事项。</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中梁乡农业发展服务中心为新增的全额拨款事业单位。总编制人数</w:t>
      </w:r>
      <w:r>
        <w:rPr>
          <w:rFonts w:hint="default" w:ascii="Times New Roman" w:hAnsi="Times New Roman" w:eastAsia="仿宋_GB2312" w:cs="仿宋_GB2312"/>
          <w:color w:val="000000"/>
          <w:kern w:val="0"/>
          <w:sz w:val="32"/>
          <w:szCs w:val="32"/>
          <w:lang w:val="en-US" w:eastAsia="zh-CN" w:bidi="ar"/>
        </w:rPr>
        <w:t>11</w:t>
      </w:r>
      <w:r>
        <w:rPr>
          <w:rFonts w:hint="eastAsia" w:ascii="Times New Roman" w:hAnsi="Times New Roman" w:eastAsia="仿宋_GB2312" w:cs="仿宋_GB2312"/>
          <w:color w:val="000000"/>
          <w:kern w:val="0"/>
          <w:sz w:val="32"/>
          <w:szCs w:val="32"/>
          <w:lang w:val="en-US" w:eastAsia="zh-CN" w:bidi="ar"/>
        </w:rPr>
        <w:t>人，实有人数</w:t>
      </w:r>
      <w:r>
        <w:rPr>
          <w:rFonts w:hint="default" w:ascii="Times New Roman" w:hAnsi="Times New Roman" w:eastAsia="仿宋_GB2312" w:cs="仿宋_GB2312"/>
          <w:color w:val="000000"/>
          <w:kern w:val="0"/>
          <w:sz w:val="32"/>
          <w:szCs w:val="32"/>
          <w:lang w:val="en-US" w:eastAsia="zh-CN" w:bidi="ar"/>
        </w:rPr>
        <w:t>10</w:t>
      </w:r>
      <w:r>
        <w:rPr>
          <w:rFonts w:hint="eastAsia" w:ascii="Times New Roman" w:hAnsi="Times New Roman" w:eastAsia="仿宋_GB2312" w:cs="仿宋_GB2312"/>
          <w:color w:val="000000"/>
          <w:kern w:val="0"/>
          <w:sz w:val="32"/>
          <w:szCs w:val="32"/>
          <w:lang w:val="en-US" w:eastAsia="zh-CN" w:bidi="ar"/>
        </w:rPr>
        <w:t>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1.总体情况。</w:t>
      </w:r>
      <w:r>
        <w:rPr>
          <w:rFonts w:hint="eastAsia" w:ascii="Times New Roman" w:hAnsi="Times New Roman" w:eastAsia="仿宋_GB2312" w:cs="仿宋_GB2312"/>
          <w:color w:val="000000"/>
          <w:kern w:val="0"/>
          <w:sz w:val="32"/>
          <w:szCs w:val="32"/>
          <w:lang w:val="en-US" w:eastAsia="zh-CN" w:bidi="ar"/>
        </w:rPr>
        <w:t>2024年度收入总计168.83万元，支出总计168.83万元。收、支与2023年度相比，增加168.83万元，增长100.0%，主要原因是中梁乡农业发展服务中心为新增的全额拨款事业单位。</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2.收入情况。</w:t>
      </w:r>
      <w:r>
        <w:rPr>
          <w:rFonts w:hint="eastAsia" w:ascii="Times New Roman" w:hAnsi="Times New Roman" w:eastAsia="仿宋_GB2312" w:cs="仿宋_GB2312"/>
          <w:color w:val="000000"/>
          <w:kern w:val="0"/>
          <w:sz w:val="32"/>
          <w:szCs w:val="32"/>
          <w:lang w:val="en-US" w:eastAsia="zh-CN" w:bidi="ar"/>
        </w:rPr>
        <w:t>2024年度收入合计168.83万元，与2023年度相比，增加168.83万元，增长100.0%，主要原因是中梁乡农业发展服务中心为新增的全额拨款事业单位。其中：财政拨款收入168.83万元，占100.00%；事业收入0.00万元，占0.00%；经营收入0.00万元，占0.00%；其他收入0.00万元，占0.00%。此外，使用非财政拨款结余和专用结余0.00万元，年初结转和结余0.00万元。</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3.支出情况。</w:t>
      </w:r>
      <w:r>
        <w:rPr>
          <w:rFonts w:hint="eastAsia" w:ascii="Times New Roman" w:hAnsi="Times New Roman" w:eastAsia="仿宋_GB2312" w:cs="仿宋_GB2312"/>
          <w:color w:val="000000"/>
          <w:kern w:val="0"/>
          <w:sz w:val="32"/>
          <w:szCs w:val="32"/>
          <w:lang w:val="en-US" w:eastAsia="zh-CN" w:bidi="ar"/>
        </w:rPr>
        <w:t>2024年度支出合计168.83万元，与2023年度相比，增加168.83万元，增长100.0%，主要原因是中梁乡农业发展服务中心为新增的全额拨款事业单位。其中：基本支出168.83万元，占100.00%；项目支出0.00万元，占0.00%；经营支出0.00万元，占0.00%。此外，结余分配0.00万元。</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b/>
          <w:bCs/>
          <w:color w:val="000000"/>
          <w:kern w:val="0"/>
          <w:sz w:val="32"/>
          <w:szCs w:val="32"/>
          <w:lang w:val="en-US" w:eastAsia="zh-CN" w:bidi="ar"/>
        </w:rPr>
        <w:t>4.结转结余情况。</w:t>
      </w:r>
      <w:r>
        <w:rPr>
          <w:rFonts w:hint="eastAsia" w:ascii="Times New Roman" w:hAnsi="Times New Roman" w:eastAsia="仿宋_GB2312" w:cs="仿宋_GB2312"/>
          <w:color w:val="000000"/>
          <w:kern w:val="0"/>
          <w:sz w:val="32"/>
          <w:szCs w:val="32"/>
          <w:lang w:val="en-US" w:eastAsia="zh-CN" w:bidi="ar"/>
        </w:rPr>
        <w:t>2024年度年末结转和结余0.00万元，与2023年度相比，无增减，主要原因是中梁乡农业发展服务中心为新增的全额拨款事业单位，本单位今年年末结转和结余无余额。</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2024年度财政拨款收、支总计168.83万元。与2023年相比，财政拨款收、支总计各增加168.83万元，增长100.0%。主要原因是中梁乡农业发展服务中心为新增的全额拨款事业单位。</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1.收入情况。</w:t>
      </w:r>
      <w:r>
        <w:rPr>
          <w:rFonts w:hint="eastAsia" w:ascii="Times New Roman" w:hAnsi="Times New Roman" w:eastAsia="仿宋_GB2312" w:cs="仿宋_GB2312"/>
          <w:color w:val="000000"/>
          <w:kern w:val="0"/>
          <w:sz w:val="32"/>
          <w:szCs w:val="32"/>
          <w:lang w:val="en-US" w:eastAsia="zh-CN" w:bidi="ar"/>
        </w:rPr>
        <w:t>2024年度一般公共预算财政拨款收入168.83万元，与2023年度相比，增加168.83万元，增长100.0%。主要原因是中梁乡农业发展服务中心为新增的全额拨款事业单位。较年初预算数减少8.51万元，下降4.8%。主要原因是中梁乡农业发展服务中心为新增的全额拨款事业单位。此外，年初财政拨款结转和结余0.00万元。</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2.支出情况。</w:t>
      </w:r>
      <w:r>
        <w:rPr>
          <w:rFonts w:hint="eastAsia" w:ascii="Times New Roman" w:hAnsi="Times New Roman" w:eastAsia="仿宋_GB2312" w:cs="仿宋_GB2312"/>
          <w:color w:val="000000"/>
          <w:kern w:val="0"/>
          <w:sz w:val="32"/>
          <w:szCs w:val="32"/>
          <w:lang w:val="en-US" w:eastAsia="zh-CN" w:bidi="ar"/>
        </w:rPr>
        <w:t>2024年度一般公共预算财政拨款支出168.83万元，与2023年度相比，增加168.83万元，增长100.0%。主要原因是中梁乡农业发展服务中心为新增的全额拨款事业单位。较年初预算数减少8.51万元，下降4.8%。主要原因是1名事业人员辞职。</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3.结转结余情况。</w:t>
      </w:r>
      <w:r>
        <w:rPr>
          <w:rFonts w:hint="eastAsia" w:ascii="Times New Roman" w:hAnsi="Times New Roman" w:eastAsia="仿宋_GB2312" w:cs="仿宋_GB2312"/>
          <w:color w:val="000000"/>
          <w:kern w:val="0"/>
          <w:sz w:val="32"/>
          <w:szCs w:val="32"/>
          <w:lang w:val="en-US" w:eastAsia="zh-CN" w:bidi="ar"/>
        </w:rPr>
        <w:t>2024年度年末一般公共预算财政拨款结转和结余0.00万元，与2023年度相比，无增减，主要原因是中梁乡农业发展服务中心为新增的全额拨款事业单位，本单位今年年末结转和结余无余额。</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hint="eastAsia" w:ascii="Times New Roman" w:hAnsi="Times New Roman" w:eastAsia="仿宋_GB2312" w:cs="仿宋_GB2312"/>
          <w:b/>
          <w:bCs/>
          <w:color w:val="000000"/>
          <w:kern w:val="0"/>
          <w:sz w:val="32"/>
          <w:szCs w:val="32"/>
          <w:lang w:val="en-US" w:eastAsia="zh-CN" w:bidi="ar"/>
        </w:rPr>
        <w:t xml:space="preserve"> 4.比较情况。</w:t>
      </w:r>
      <w:r>
        <w:rPr>
          <w:rFonts w:hint="eastAsia" w:ascii="Times New Roman" w:hAnsi="Times New Roman" w:eastAsia="仿宋_GB2312" w:cs="仿宋_GB2312"/>
          <w:color w:val="000000"/>
          <w:kern w:val="0"/>
          <w:sz w:val="32"/>
          <w:szCs w:val="32"/>
          <w:lang w:val="en-US" w:eastAsia="zh-CN" w:bidi="ar"/>
        </w:rPr>
        <w:t>本单位2024年度一般公共预算财政拨款支出主要用于以下几个方面：</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（1）一般公共服务支出124.08万元，占73.49%，较年初预算数减少16.21万元，下降11.6%，主要原因是1名事业人员辞职。</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color w:val="000000"/>
          <w:kern w:val="0"/>
          <w:sz w:val="32"/>
          <w:szCs w:val="32"/>
          <w:lang w:val="en-US" w:eastAsia="zh-CN" w:bidi="ar"/>
        </w:rPr>
        <w:t>（2）社会保障与就业支出30.42万元，占18.02%，较年初预算数增加7.70万元，增长33.9%，主要原因是部分项目年初未预算，是年中追加的预算。</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（3）卫生健康支出6.52万元，占3.86%，较年初预算数无增减，主要原因是年中未调整预算。</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（4）住房保障支出7.82万元，占4.63%，较年初预算数无增减，主要原因是年中未调整预算。</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2024年度一般公共财政拨款基本支出168.83万元。其中：人员经费146.55万元，与2023年度相比，增加146.55万元，增长100.0%，主要原因是中梁乡农业发展服务中心为新增的全额拨款事业单位。人员经费用途主要包括基本工资、津贴补贴、奖金、绩效工资、社会保障缴费、住房公积金、医疗费、其他工资福利支出。公用经费22.28万元，与2023年度相比，增加22.28万元，增长100.0%，主要原因是中梁乡农业发展服务中心为新增的全额拨款事业单位。公用经费用途主要包括办公费、印刷费、水费、电费、差旅费、公务接待费、福利费、其他商品和服务支出、公务用车运行维护费。。</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本单位2024年度无政府性基金预算财政拨款收支。</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ascii="方正仿宋_GBK" w:hAnsi="方正仿宋_GBK" w:eastAsia="方正仿宋_GBK" w:cs="方正仿宋_GBK"/>
          <w:sz w:val="32"/>
          <w:szCs w:val="32"/>
          <w:shd w:val="clear" w:color="auto" w:fill="FFFFFF"/>
        </w:rPr>
        <w:t> </w:t>
      </w:r>
      <w:r>
        <w:rPr>
          <w:rFonts w:hint="eastAsia" w:ascii="Times New Roman" w:hAnsi="Times New Roman" w:eastAsia="仿宋_GB2312" w:cs="仿宋_GB2312"/>
          <w:color w:val="000000"/>
          <w:kern w:val="0"/>
          <w:sz w:val="32"/>
          <w:szCs w:val="32"/>
          <w:lang w:val="en-US" w:eastAsia="zh-CN" w:bidi="ar"/>
        </w:rPr>
        <w:t>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三公”经费支出共计0.00万元，较年初预算数无增减，主要原因是是贯彻落实中央八项规定、压缩开支，年中未调整预算。较上年支出数无增减，主要原因是中梁乡农业发展服务中心为新增的全额拨款事业单位。</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本单位因公出国（境）费用0.00万元，主要是用于因公出国（境）相关费用。费用支出较年初预算数无增减，主要原因是主要原因是贯彻落实中央八项规定、压缩开支，年中未调整预算。与2023年度相比，无增减，主要原因是中梁乡农业发展服务中心为新增的全额拨款事业单位，且2024年本单位无因公出国（境）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color w:val="000000"/>
          <w:kern w:val="0"/>
          <w:sz w:val="32"/>
          <w:szCs w:val="32"/>
          <w:lang w:val="en-US" w:eastAsia="zh-CN" w:bidi="ar"/>
        </w:rPr>
        <w:t>公务车购置费0.00万元，主要用于购买公务用车等。费用支出较年初预算数无增减，主要原因是贯彻落实中央八项规定、压缩开支，年中未调整预算。与2023年度相比，无增减，主要原因是中梁乡农业发展服务中心为新增的全额拨款事业单位，且2024年本单位未产生公务车购置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color w:val="000000"/>
          <w:kern w:val="0"/>
          <w:sz w:val="32"/>
          <w:szCs w:val="32"/>
          <w:lang w:val="en-US" w:eastAsia="zh-CN" w:bidi="ar"/>
        </w:rPr>
        <w:t>公务车运行维护费0.00万元，主要用于公车维修，公车加油等。费用支出较年初预算数无增减，主要原因是贯彻落实中央八项规定、压缩开支，年中未调整预算。与2023年度相比，无增减，主要原因是中梁乡农业发展服务中心为新增的全额拨款事业单位，且2024年本单位未产生公务车运行维护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公务接待费0.00万元，主要用于接待所产生的住宿费，用餐费等。费用支出较年初预算数无增减，主要原因是贯彻落实中央八项规定、压缩开支，年中未调整预算。较上年支出数无增减，主要原因是中梁乡农业发展服务中心为新增的全额拨款事业单位，且2024年本单位未产生公务接待费。</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ascii="方正仿宋_GBK" w:hAnsi="方正仿宋_GBK" w:eastAsia="方正仿宋_GBK" w:cs="方正仿宋_GBK"/>
          <w:sz w:val="32"/>
          <w:szCs w:val="32"/>
          <w:shd w:val="clear" w:color="auto" w:fill="FFFFFF"/>
        </w:rPr>
        <w:t> </w:t>
      </w:r>
      <w:r>
        <w:rPr>
          <w:rFonts w:hint="eastAsia" w:ascii="Times New Roman" w:hAnsi="Times New Roman" w:eastAsia="仿宋_GB2312" w:cs="仿宋_GB2312"/>
          <w:color w:val="000000"/>
          <w:kern w:val="0"/>
          <w:sz w:val="32"/>
          <w:szCs w:val="32"/>
          <w:lang w:val="en-US" w:eastAsia="zh-CN" w:bidi="ar"/>
        </w:rPr>
        <w:t xml:space="preserve">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年度会议费支出0.00万元，与2023年度相比，无增减，主要原因是本单位无会议费用支出。本年度培训费支出0.00万元，与2023年度相比，无变化，主要原因是中梁乡农业发展服务中心为新增的全额拨款事业单位，且2024年无培训费支出。</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default" w:ascii="Times New Roman" w:hAnsi="Times New Roman" w:eastAsia="仿宋_GB2312" w:cs="仿宋_GB2312"/>
          <w:color w:val="000000"/>
          <w:kern w:val="0"/>
          <w:sz w:val="32"/>
          <w:szCs w:val="32"/>
          <w:lang w:val="en-US" w:eastAsia="zh-CN" w:bidi="ar"/>
        </w:rPr>
        <w:t>按照部门决算列报口径，我单位不在机关运行经费统计范围之内。</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default" w:ascii="Times New Roman" w:hAnsi="Times New Roman" w:eastAsia="仿宋_GB2312" w:cs="仿宋_GB2312"/>
          <w:color w:val="000000"/>
          <w:kern w:val="0"/>
          <w:sz w:val="32"/>
          <w:szCs w:val="32"/>
          <w:lang w:val="en-US" w:eastAsia="zh-CN" w:bidi="ar"/>
        </w:rPr>
        <w:t>截至</w:t>
      </w:r>
      <w:r>
        <w:rPr>
          <w:rFonts w:hint="eastAsia" w:ascii="Times New Roman" w:hAnsi="Times New Roman" w:eastAsia="仿宋_GB2312" w:cs="仿宋_GB2312"/>
          <w:color w:val="000000"/>
          <w:kern w:val="0"/>
          <w:sz w:val="32"/>
          <w:szCs w:val="32"/>
          <w:lang w:val="en-US" w:eastAsia="zh-CN" w:bidi="ar"/>
        </w:rPr>
        <w:t>2024年</w:t>
      </w:r>
      <w:r>
        <w:rPr>
          <w:rFonts w:hint="default" w:ascii="Times New Roman" w:hAnsi="Times New Roman" w:eastAsia="仿宋_GB2312" w:cs="仿宋_GB2312"/>
          <w:color w:val="000000"/>
          <w:kern w:val="0"/>
          <w:sz w:val="32"/>
          <w:szCs w:val="32"/>
          <w:lang w:val="en-US" w:eastAsia="zh-CN" w:bidi="ar"/>
        </w:rPr>
        <w:t>12月31日，本部门共有车辆</w:t>
      </w:r>
      <w:r>
        <w:rPr>
          <w:rFonts w:hint="eastAsia" w:ascii="Times New Roman" w:hAnsi="Times New Roman" w:eastAsia="仿宋_GB2312" w:cs="仿宋_GB2312"/>
          <w:color w:val="000000"/>
          <w:kern w:val="0"/>
          <w:sz w:val="32"/>
          <w:szCs w:val="32"/>
          <w:lang w:val="en-US" w:eastAsia="zh-CN" w:bidi="ar"/>
        </w:rPr>
        <w:t>0</w:t>
      </w:r>
      <w:r>
        <w:rPr>
          <w:rFonts w:hint="default" w:ascii="Times New Roman" w:hAnsi="Times New Roman" w:eastAsia="仿宋_GB2312" w:cs="仿宋_GB2312"/>
          <w:color w:val="000000"/>
          <w:kern w:val="0"/>
          <w:sz w:val="32"/>
          <w:szCs w:val="32"/>
          <w:lang w:val="en-US" w:eastAsia="zh-CN" w:bidi="ar"/>
        </w:rPr>
        <w:t>辆，其中，副部（省）级及以上领导用车0辆、主要负责人用车0辆、机要通信用车0辆、应急保障用车</w:t>
      </w:r>
      <w:r>
        <w:rPr>
          <w:rFonts w:hint="eastAsia" w:ascii="Times New Roman" w:hAnsi="Times New Roman" w:eastAsia="仿宋_GB2312" w:cs="仿宋_GB2312"/>
          <w:color w:val="000000"/>
          <w:kern w:val="0"/>
          <w:sz w:val="32"/>
          <w:szCs w:val="32"/>
          <w:lang w:val="en-US" w:eastAsia="zh-CN" w:bidi="ar"/>
        </w:rPr>
        <w:t>0</w:t>
      </w:r>
      <w:r>
        <w:rPr>
          <w:rFonts w:hint="default" w:ascii="Times New Roman" w:hAnsi="Times New Roman" w:eastAsia="仿宋_GB2312" w:cs="仿宋_GB2312"/>
          <w:color w:val="000000"/>
          <w:kern w:val="0"/>
          <w:sz w:val="32"/>
          <w:szCs w:val="32"/>
          <w:lang w:val="en-US" w:eastAsia="zh-CN" w:bidi="ar"/>
        </w:rPr>
        <w:t>辆、执法执勤用车0辆，特种专业技术用车</w:t>
      </w:r>
      <w:r>
        <w:rPr>
          <w:rFonts w:hint="eastAsia" w:ascii="Times New Roman" w:hAnsi="Times New Roman" w:eastAsia="仿宋_GB2312" w:cs="仿宋_GB2312"/>
          <w:color w:val="000000"/>
          <w:kern w:val="0"/>
          <w:sz w:val="32"/>
          <w:szCs w:val="32"/>
          <w:lang w:val="en-US" w:eastAsia="zh-CN" w:bidi="ar"/>
        </w:rPr>
        <w:t>0</w:t>
      </w:r>
      <w:r>
        <w:rPr>
          <w:rFonts w:hint="default" w:ascii="Times New Roman" w:hAnsi="Times New Roman" w:eastAsia="仿宋_GB2312" w:cs="仿宋_GB2312"/>
          <w:color w:val="000000"/>
          <w:kern w:val="0"/>
          <w:sz w:val="32"/>
          <w:szCs w:val="32"/>
          <w:lang w:val="en-US" w:eastAsia="zh-CN" w:bidi="ar"/>
        </w:rPr>
        <w:t>辆，离退休干部用车0辆。单价100万元（含）以上专用设备0台（套）。</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2024年度我单位未发生政府采购事项，无相关经费支出。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五、2024年度预算绩效管理情况说明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我单位无一级项目和二级项目。</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本单位2024年部门整体绩效目标由巫溪县中梁乡人民政府统一填报公开。</w:t>
      </w:r>
      <w:bookmarkStart w:id="0" w:name="_GoBack"/>
      <w:bookmarkEnd w:id="0"/>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本单位本年度无项目支出绩效自评。</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94" w:lineRule="exact"/>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无</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县财政局未委托第三方对我单位开展绩效评价。</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12"/>
          <w:rFonts w:hint="eastAsia" w:ascii="方正仿宋_GBK" w:hAnsi="方正仿宋_GBK" w:eastAsia="方正仿宋_GBK" w:cs="方正仿宋_GBK"/>
          <w:b/>
          <w:bCs/>
          <w:sz w:val="32"/>
          <w:szCs w:val="32"/>
          <w:shd w:val="clear" w:fill="FFFFFF"/>
          <w:lang w:val="en-US" w:eastAsia="zh-CN"/>
        </w:rPr>
        <w:t xml:space="preserve">  </w:t>
      </w:r>
      <w:r>
        <w:rPr>
          <w:rStyle w:val="9"/>
          <w:rFonts w:hint="eastAsia" w:ascii="黑体" w:hAnsi="黑体" w:eastAsia="黑体" w:cs="黑体"/>
          <w:sz w:val="32"/>
          <w:szCs w:val="32"/>
          <w:shd w:val="clear" w:color="auto" w:fill="FFFFFF"/>
          <w:lang w:val="en-US" w:eastAsia="zh-CN" w:bidi="ar-SA"/>
        </w:rPr>
        <w:t xml:space="preserve"> 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（一）财政拨款收入：</w:t>
      </w:r>
      <w:r>
        <w:rPr>
          <w:rFonts w:hint="eastAsia" w:ascii="Times New Roman" w:hAnsi="Times New Roman" w:eastAsia="仿宋_GB2312" w:cs="仿宋_GB2312"/>
          <w:color w:val="000000"/>
          <w:kern w:val="0"/>
          <w:sz w:val="32"/>
          <w:szCs w:val="32"/>
          <w:lang w:val="en-US" w:eastAsia="zh-CN" w:bidi="ar"/>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（二）事业收入：</w:t>
      </w:r>
      <w:r>
        <w:rPr>
          <w:rFonts w:hint="eastAsia" w:ascii="Times New Roman" w:hAnsi="Times New Roman" w:eastAsia="仿宋_GB2312" w:cs="仿宋_GB2312"/>
          <w:color w:val="000000"/>
          <w:kern w:val="0"/>
          <w:sz w:val="32"/>
          <w:szCs w:val="32"/>
          <w:lang w:val="en-US" w:eastAsia="zh-CN" w:bidi="ar"/>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（三）经营收入：</w:t>
      </w:r>
      <w:r>
        <w:rPr>
          <w:rFonts w:hint="eastAsia" w:ascii="Times New Roman" w:hAnsi="Times New Roman" w:eastAsia="仿宋_GB2312" w:cs="仿宋_GB2312"/>
          <w:color w:val="000000"/>
          <w:kern w:val="0"/>
          <w:sz w:val="32"/>
          <w:szCs w:val="32"/>
          <w:lang w:val="en-US" w:eastAsia="zh-CN" w:bidi="ar"/>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（四）其他收入：</w:t>
      </w:r>
      <w:r>
        <w:rPr>
          <w:rFonts w:hint="eastAsia" w:ascii="Times New Roman" w:hAnsi="Times New Roman" w:eastAsia="仿宋_GB2312" w:cs="仿宋_GB2312"/>
          <w:color w:val="000000"/>
          <w:kern w:val="0"/>
          <w:sz w:val="32"/>
          <w:szCs w:val="3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（五）使用非财政拨款结余：</w:t>
      </w:r>
      <w:r>
        <w:rPr>
          <w:rFonts w:hint="eastAsia" w:ascii="Times New Roman" w:hAnsi="Times New Roman" w:eastAsia="仿宋_GB2312" w:cs="仿宋_GB2312"/>
          <w:color w:val="000000"/>
          <w:kern w:val="0"/>
          <w:sz w:val="32"/>
          <w:szCs w:val="32"/>
          <w:lang w:val="en-US" w:eastAsia="zh-CN" w:bidi="ar"/>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（六）年初结转和结余：</w:t>
      </w:r>
      <w:r>
        <w:rPr>
          <w:rFonts w:hint="eastAsia" w:ascii="Times New Roman" w:hAnsi="Times New Roman" w:eastAsia="仿宋_GB2312" w:cs="仿宋_GB2312"/>
          <w:color w:val="000000"/>
          <w:kern w:val="0"/>
          <w:sz w:val="32"/>
          <w:szCs w:val="32"/>
          <w:lang w:val="en-US" w:eastAsia="zh-CN" w:bidi="ar"/>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（七）结余分配：</w:t>
      </w:r>
      <w:r>
        <w:rPr>
          <w:rFonts w:hint="eastAsia" w:ascii="Times New Roman" w:hAnsi="Times New Roman" w:eastAsia="仿宋_GB2312" w:cs="仿宋_GB2312"/>
          <w:color w:val="000000"/>
          <w:kern w:val="0"/>
          <w:sz w:val="32"/>
          <w:szCs w:val="32"/>
          <w:lang w:val="en-US" w:eastAsia="zh-CN" w:bidi="ar"/>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（八）年末结转和结余：</w:t>
      </w:r>
      <w:r>
        <w:rPr>
          <w:rFonts w:hint="eastAsia" w:ascii="Times New Roman" w:hAnsi="Times New Roman" w:eastAsia="仿宋_GB2312" w:cs="仿宋_GB2312"/>
          <w:color w:val="000000"/>
          <w:kern w:val="0"/>
          <w:sz w:val="32"/>
          <w:szCs w:val="32"/>
          <w:lang w:val="en-US" w:eastAsia="zh-CN" w:bidi="ar"/>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（九）基本支出：</w:t>
      </w:r>
      <w:r>
        <w:rPr>
          <w:rFonts w:hint="eastAsia" w:ascii="Times New Roman" w:hAnsi="Times New Roman" w:eastAsia="仿宋_GB2312" w:cs="仿宋_GB2312"/>
          <w:color w:val="000000"/>
          <w:kern w:val="0"/>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（十）项目支出：</w:t>
      </w:r>
      <w:r>
        <w:rPr>
          <w:rFonts w:hint="eastAsia" w:ascii="Times New Roman" w:hAnsi="Times New Roman" w:eastAsia="仿宋_GB2312" w:cs="仿宋_GB2312"/>
          <w:color w:val="000000"/>
          <w:kern w:val="0"/>
          <w:sz w:val="32"/>
          <w:szCs w:val="32"/>
          <w:lang w:val="en-US" w:eastAsia="zh-CN" w:bidi="ar"/>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（十一）经营支出：</w:t>
      </w:r>
      <w:r>
        <w:rPr>
          <w:rFonts w:hint="eastAsia" w:ascii="Times New Roman" w:hAnsi="Times New Roman" w:eastAsia="仿宋_GB2312" w:cs="仿宋_GB2312"/>
          <w:color w:val="000000"/>
          <w:kern w:val="0"/>
          <w:sz w:val="32"/>
          <w:szCs w:val="32"/>
          <w:lang w:val="en-US" w:eastAsia="zh-CN" w:bidi="ar"/>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（十二）“三公”经费：</w:t>
      </w:r>
      <w:r>
        <w:rPr>
          <w:rFonts w:hint="eastAsia" w:ascii="Times New Roman" w:hAnsi="Times New Roman" w:eastAsia="仿宋_GB2312" w:cs="仿宋_GB2312"/>
          <w:color w:val="000000"/>
          <w:kern w:val="0"/>
          <w:sz w:val="32"/>
          <w:szCs w:val="3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（十三）机关运行经费：</w:t>
      </w:r>
      <w:r>
        <w:rPr>
          <w:rFonts w:hint="eastAsia" w:ascii="Times New Roman" w:hAnsi="Times New Roman" w:eastAsia="仿宋_GB2312" w:cs="仿宋_GB2312"/>
          <w:color w:val="000000"/>
          <w:kern w:val="0"/>
          <w:sz w:val="32"/>
          <w:szCs w:val="3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（十四）工资福利支出（支出经济分类科目类级）：</w:t>
      </w:r>
      <w:r>
        <w:rPr>
          <w:rFonts w:hint="eastAsia" w:ascii="Times New Roman" w:hAnsi="Times New Roman" w:eastAsia="仿宋_GB2312" w:cs="仿宋_GB2312"/>
          <w:color w:val="000000"/>
          <w:kern w:val="0"/>
          <w:sz w:val="32"/>
          <w:szCs w:val="32"/>
          <w:lang w:val="en-US" w:eastAsia="zh-CN" w:bidi="ar"/>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Times New Roman" w:hAnsi="Times New Roman" w:eastAsia="仿宋_GB2312" w:cs="仿宋_GB2312"/>
          <w:color w:val="000000"/>
          <w:kern w:val="0"/>
          <w:sz w:val="32"/>
          <w:szCs w:val="32"/>
          <w:lang w:val="en-US" w:eastAsia="zh-CN" w:bidi="ar"/>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Times New Roman" w:hAnsi="Times New Roman" w:eastAsia="仿宋_GB2312" w:cs="仿宋_GB2312"/>
          <w:color w:val="000000"/>
          <w:kern w:val="0"/>
          <w:sz w:val="32"/>
          <w:szCs w:val="32"/>
          <w:lang w:val="en-US" w:eastAsia="zh-CN" w:bidi="ar"/>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Times New Roman" w:hAnsi="Times New Roman" w:eastAsia="仿宋_GB2312" w:cs="仿宋_GB2312"/>
          <w:color w:val="000000"/>
          <w:kern w:val="0"/>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9"/>
          <w:rFonts w:hint="eastAsia" w:ascii="黑体" w:hAnsi="黑体" w:eastAsia="黑体" w:cs="黑体"/>
          <w:sz w:val="32"/>
          <w:szCs w:val="32"/>
          <w:shd w:val="clear" w:color="auto" w:fill="FFFFFF"/>
          <w:lang w:val="en-US" w:eastAsia="zh-CN" w:bidi="ar-SA"/>
        </w:rPr>
        <w:t>七、决算公开联系方式及信息反馈渠道</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本单位决算公开信息反馈和联系方式：</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xml:space="preserve"> 023-51417520</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巫溪县中梁乡农业服务中心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168.83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168.83</w:t>
            </w:r>
          </w:p>
        </w:tc>
      </w:tr>
    </w:tbl>
    <w:p>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巫溪县中梁乡农业服务中心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168.83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168.83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巫溪县中梁乡农业服务中心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168.83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168.83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巫溪县中梁乡农业服务中心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巫溪县中梁乡农业服务中心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168.83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168.83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168.83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168.83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巫溪县中梁乡农业服务中心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139.47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29.23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146.55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22.28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巫溪县中梁乡农业服务中心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cs="宋体"/>
          <w:sz w:val="21"/>
          <w:szCs w:val="21"/>
          <w:lang w:val="en-US" w:eastAsia="zh-CN"/>
        </w:rPr>
        <w:t>本年无政府性基金预算财政拨款收支，故此表无数据。</w:t>
      </w:r>
      <w:r>
        <w:rPr>
          <w:rFonts w:hint="eastAsia" w:ascii="宋体" w:hAnsi="宋体" w:eastAsia="宋体" w:cs="宋体"/>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巫溪县中梁乡农业服务中心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sz w:val="21"/>
          <w:szCs w:val="21"/>
          <w:lang w:val="en-US" w:eastAsia="zh-CN"/>
        </w:rPr>
        <w:t>本年无国有资本经营预算财政拨款收支，故此表无数据。</w:t>
      </w: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巫溪县中梁乡农业服务中心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r>
        <w:rPr>
          <w:rFonts w:hint="eastAsia" w:cs="宋体"/>
          <w:sz w:val="21"/>
          <w:szCs w:val="21"/>
          <w:lang w:val="en-US" w:eastAsia="zh-CN"/>
        </w:rPr>
        <w:t>本年无“三公”经费收支，故此表无数据。</w:t>
      </w: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0640CD"/>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521FD"/>
    <w:rsid w:val="0DDA54E4"/>
    <w:rsid w:val="0E3A5F83"/>
    <w:rsid w:val="0EAC2DB4"/>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AE17B9"/>
    <w:rsid w:val="1CE157EE"/>
    <w:rsid w:val="1D014A01"/>
    <w:rsid w:val="1D022362"/>
    <w:rsid w:val="1DD26311"/>
    <w:rsid w:val="1EF67CA4"/>
    <w:rsid w:val="1FCD26AF"/>
    <w:rsid w:val="20642787"/>
    <w:rsid w:val="21556F04"/>
    <w:rsid w:val="22403BD3"/>
    <w:rsid w:val="24B92327"/>
    <w:rsid w:val="2533755C"/>
    <w:rsid w:val="261570B7"/>
    <w:rsid w:val="26396DF4"/>
    <w:rsid w:val="270642A6"/>
    <w:rsid w:val="27167136"/>
    <w:rsid w:val="27B23302"/>
    <w:rsid w:val="29310A5F"/>
    <w:rsid w:val="299947CC"/>
    <w:rsid w:val="29C37A35"/>
    <w:rsid w:val="29C66BE9"/>
    <w:rsid w:val="29C95E09"/>
    <w:rsid w:val="2A076083"/>
    <w:rsid w:val="2A73162E"/>
    <w:rsid w:val="2B167953"/>
    <w:rsid w:val="2B200583"/>
    <w:rsid w:val="2B8209DE"/>
    <w:rsid w:val="2C161D32"/>
    <w:rsid w:val="2C2D3EC7"/>
    <w:rsid w:val="2C6762A3"/>
    <w:rsid w:val="2D8D2A49"/>
    <w:rsid w:val="2DA628E6"/>
    <w:rsid w:val="2FE029D7"/>
    <w:rsid w:val="2FF06E00"/>
    <w:rsid w:val="315D199F"/>
    <w:rsid w:val="315F0B22"/>
    <w:rsid w:val="31D84415"/>
    <w:rsid w:val="32285F6F"/>
    <w:rsid w:val="32770556"/>
    <w:rsid w:val="329C0913"/>
    <w:rsid w:val="3337290D"/>
    <w:rsid w:val="33441F9C"/>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1744832"/>
    <w:rsid w:val="41F92C92"/>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5C21C27"/>
    <w:rsid w:val="56530F5D"/>
    <w:rsid w:val="5842572D"/>
    <w:rsid w:val="5A2D05BB"/>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69AF"/>
    <w:rsid w:val="692172FD"/>
    <w:rsid w:val="6934170C"/>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iPriority w:val="0"/>
    <w:pPr>
      <w:ind w:firstLine="420" w:firstLineChars="200"/>
    </w:p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13</TotalTime>
  <ScaleCrop>false</ScaleCrop>
  <LinksUpToDate>false</LinksUpToDate>
  <CharactersWithSpaces>21460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2025-09-18T01:35:13Z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9EDAFD8FD9424A54844071572B3E9A06_13</vt:lpwstr>
  </property>
</Properties>
</file>