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巫溪县中梁乡人民政府</w:t>
      </w:r>
    </w:p>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720" w:firstLineChars="200"/>
        <w:jc w:val="both"/>
        <w:textAlignment w:val="auto"/>
        <w:rPr>
          <w:rFonts w:hint="eastAsia" w:ascii="方正小标宋_GBK" w:hAnsi="方正小标宋_GBK" w:eastAsia="方正小标宋_GBK" w:cs="方正小标宋_GBK"/>
          <w:sz w:val="36"/>
          <w:szCs w:val="36"/>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rPr>
          <w:rStyle w:val="9"/>
          <w:rFonts w:hint="eastAsia" w:ascii="方正黑体_GBK" w:hAnsi="方正黑体_GBK" w:eastAsia="方正黑体_GBK" w:cs="方正黑体_GBK"/>
          <w:sz w:val="32"/>
          <w:szCs w:val="32"/>
          <w:shd w:val="clear" w:color="auto" w:fill="FFFFFF"/>
        </w:rPr>
      </w:pPr>
      <w:r>
        <w:rPr>
          <w:rStyle w:val="9"/>
          <w:rFonts w:hint="eastAsia" w:ascii="方正黑体_GBK" w:hAnsi="方正黑体_GBK" w:eastAsia="方正黑体_GBK" w:cs="方正黑体_GBK"/>
          <w:sz w:val="32"/>
          <w:szCs w:val="32"/>
          <w:shd w:val="clear" w:color="auto" w:fill="FFFFFF"/>
        </w:rPr>
        <w:t>一、</w:t>
      </w:r>
      <w:r>
        <w:rPr>
          <w:rStyle w:val="9"/>
          <w:rFonts w:hint="eastAsia" w:ascii="方正黑体_GBK" w:hAnsi="方正黑体_GBK" w:eastAsia="方正黑体_GBK" w:cs="方正黑体_GBK"/>
          <w:sz w:val="32"/>
          <w:szCs w:val="32"/>
          <w:shd w:val="clear" w:color="auto" w:fill="FFFFFF"/>
          <w:lang w:eastAsia="zh-CN"/>
        </w:rPr>
        <w:t>部门</w:t>
      </w:r>
      <w:r>
        <w:rPr>
          <w:rStyle w:val="9"/>
          <w:rFonts w:hint="eastAsia" w:ascii="方正黑体_GBK" w:hAnsi="方正黑体_GBK" w:eastAsia="方正黑体_GBK" w:cs="方正黑体_GBK"/>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2" w:firstLineChars="200"/>
        <w:jc w:val="both"/>
        <w:textAlignment w:val="auto"/>
        <w:rPr>
          <w:rFonts w:hint="eastAsia" w:ascii="方正楷体_GBK" w:hAnsi="方正楷体_GBK" w:eastAsia="方正楷体_GBK" w:cs="方正楷体_GBK"/>
          <w:sz w:val="32"/>
          <w:szCs w:val="32"/>
        </w:rPr>
      </w:pPr>
      <w:r>
        <w:rPr>
          <w:rStyle w:val="9"/>
          <w:rFonts w:hint="eastAsia" w:ascii="方正楷体_GBK" w:hAnsi="方正楷体_GBK" w:eastAsia="方正楷体_GBK" w:cs="方正楷体_GBK"/>
          <w:sz w:val="32"/>
          <w:szCs w:val="32"/>
          <w:shd w:val="clear" w:color="auto" w:fill="FFFFFF"/>
        </w:rPr>
        <w:t>（一）职能职责</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eastAsia="zh-CN" w:bidi="ar"/>
        </w:rPr>
        <w:t>中梁乡</w:t>
      </w:r>
      <w:r>
        <w:rPr>
          <w:rFonts w:hint="eastAsia" w:ascii="方正仿宋_GBK" w:hAnsi="方正仿宋_GBK" w:eastAsia="方正仿宋_GBK" w:cs="方正仿宋_GBK"/>
          <w:color w:val="000000"/>
          <w:kern w:val="0"/>
          <w:sz w:val="32"/>
          <w:szCs w:val="32"/>
          <w:lang w:bidi="ar"/>
        </w:rPr>
        <w:t>人民政府是本级人民代表大会的执行机关，是地方国家行政机关，主要职责为：</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促进经济发展。制定实施本</w:t>
      </w:r>
      <w:r>
        <w:rPr>
          <w:rFonts w:hint="eastAsia" w:ascii="方正仿宋_GBK" w:hAnsi="方正仿宋_GBK" w:eastAsia="方正仿宋_GBK" w:cs="方正仿宋_GBK"/>
          <w:color w:val="000000"/>
          <w:kern w:val="0"/>
          <w:sz w:val="32"/>
          <w:szCs w:val="32"/>
          <w:lang w:eastAsia="zh-CN" w:bidi="ar"/>
        </w:rPr>
        <w:t>乡</w:t>
      </w:r>
      <w:r>
        <w:rPr>
          <w:rFonts w:hint="eastAsia" w:ascii="方正仿宋_GBK" w:hAnsi="方正仿宋_GBK" w:eastAsia="方正仿宋_GBK" w:cs="方正仿宋_GBK"/>
          <w:color w:val="000000"/>
          <w:kern w:val="0"/>
          <w:sz w:val="32"/>
          <w:szCs w:val="32"/>
          <w:lang w:bidi="ar"/>
        </w:rPr>
        <w:t>经济发展规划，指导农村经济发展，推进农业结构调整，促进经济增长方式转变，发展壮大</w:t>
      </w:r>
      <w:r>
        <w:rPr>
          <w:rFonts w:hint="eastAsia" w:ascii="方正仿宋_GBK" w:hAnsi="方正仿宋_GBK" w:eastAsia="方正仿宋_GBK" w:cs="方正仿宋_GBK"/>
          <w:color w:val="000000"/>
          <w:kern w:val="0"/>
          <w:sz w:val="32"/>
          <w:szCs w:val="32"/>
          <w:lang w:eastAsia="zh-CN" w:bidi="ar"/>
        </w:rPr>
        <w:t>乡</w:t>
      </w:r>
      <w:r>
        <w:rPr>
          <w:rFonts w:hint="eastAsia" w:ascii="方正仿宋_GBK" w:hAnsi="方正仿宋_GBK" w:eastAsia="方正仿宋_GBK" w:cs="方正仿宋_GBK"/>
          <w:color w:val="000000"/>
          <w:kern w:val="0"/>
          <w:sz w:val="32"/>
          <w:szCs w:val="32"/>
          <w:lang w:bidi="ar"/>
        </w:rPr>
        <w:t>村集体经济；大力发展非公有制经济，推进农村市场经济体系的建设，发展现代农业和二、三产业，促进农民增收。</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eastAsia="zh-CN" w:bidi="ar"/>
        </w:rPr>
        <w:t>（2）</w:t>
      </w:r>
      <w:r>
        <w:rPr>
          <w:rFonts w:hint="eastAsia" w:ascii="方正仿宋_GBK" w:hAnsi="方正仿宋_GBK" w:eastAsia="方正仿宋_GBK" w:cs="方正仿宋_GBK"/>
          <w:color w:val="000000"/>
          <w:kern w:val="0"/>
          <w:sz w:val="32"/>
          <w:szCs w:val="32"/>
          <w:lang w:bidi="ar"/>
        </w:rPr>
        <w:t>加强社会管理。制定实施本</w:t>
      </w:r>
      <w:r>
        <w:rPr>
          <w:rFonts w:hint="eastAsia" w:ascii="方正仿宋_GBK" w:hAnsi="方正仿宋_GBK" w:eastAsia="方正仿宋_GBK" w:cs="方正仿宋_GBK"/>
          <w:color w:val="000000"/>
          <w:kern w:val="0"/>
          <w:sz w:val="32"/>
          <w:szCs w:val="32"/>
          <w:lang w:eastAsia="zh-CN" w:bidi="ar"/>
        </w:rPr>
        <w:t>乡</w:t>
      </w:r>
      <w:r>
        <w:rPr>
          <w:rFonts w:hint="eastAsia" w:ascii="方正仿宋_GBK" w:hAnsi="方正仿宋_GBK" w:eastAsia="方正仿宋_GBK" w:cs="方正仿宋_GBK"/>
          <w:color w:val="000000"/>
          <w:kern w:val="0"/>
          <w:sz w:val="32"/>
          <w:szCs w:val="32"/>
          <w:lang w:bidi="ar"/>
        </w:rPr>
        <w:t>社会发展规划，负责抓好义务教育、人口和耕地和生态环境保护、民政事务、救灾救助、就业培训、社会保障、劳动关系协调和新型合作医疗实施等工作。依法履行上级赋予的监督管理权和行政处罚权，配合上级行政执法部门做好相关的行政执法工作。加强农村精神文明建设，促进农村社会事业发展。加强对上级部门派驻机构的协调和监督，强化</w:t>
      </w:r>
      <w:r>
        <w:rPr>
          <w:rFonts w:hint="eastAsia" w:ascii="方正仿宋_GBK" w:hAnsi="方正仿宋_GBK" w:eastAsia="方正仿宋_GBK" w:cs="方正仿宋_GBK"/>
          <w:color w:val="000000"/>
          <w:kern w:val="0"/>
          <w:sz w:val="32"/>
          <w:szCs w:val="32"/>
          <w:lang w:eastAsia="zh-CN" w:bidi="ar"/>
        </w:rPr>
        <w:t>乡</w:t>
      </w:r>
      <w:r>
        <w:rPr>
          <w:rFonts w:hint="eastAsia" w:ascii="方正仿宋_GBK" w:hAnsi="方正仿宋_GBK" w:eastAsia="方正仿宋_GBK" w:cs="方正仿宋_GBK"/>
          <w:color w:val="000000"/>
          <w:kern w:val="0"/>
          <w:sz w:val="32"/>
          <w:szCs w:val="32"/>
          <w:lang w:bidi="ar"/>
        </w:rPr>
        <w:t>财政、村级财务和集体资产的监督管理，建立健全减轻农民负担的监督管理机制，完善区域性、突发性事件的处置工作机制。</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搞好公共服务。加强</w:t>
      </w:r>
      <w:r>
        <w:rPr>
          <w:rFonts w:hint="eastAsia" w:ascii="方正仿宋_GBK" w:hAnsi="方正仿宋_GBK" w:eastAsia="方正仿宋_GBK" w:cs="方正仿宋_GBK"/>
          <w:color w:val="000000"/>
          <w:kern w:val="0"/>
          <w:sz w:val="32"/>
          <w:szCs w:val="32"/>
          <w:lang w:eastAsia="zh-CN" w:bidi="ar"/>
        </w:rPr>
        <w:t>乡</w:t>
      </w:r>
      <w:r>
        <w:rPr>
          <w:rFonts w:hint="eastAsia" w:ascii="方正仿宋_GBK" w:hAnsi="方正仿宋_GBK" w:eastAsia="方正仿宋_GBK" w:cs="方正仿宋_GBK"/>
          <w:color w:val="000000"/>
          <w:kern w:val="0"/>
          <w:sz w:val="32"/>
          <w:szCs w:val="32"/>
          <w:lang w:bidi="ar"/>
        </w:rPr>
        <w:t>村基础设施建设、农田水利建设和生态环境建设，发展农村社会公共事业和集体公益事业，组织引导农村劳动力转移和就业，加强农村社会化服务体系建设，鼓励和扶持社会力量举办为“三农”服务的公益性机构和经济实体。</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val="en-US" w:eastAsia="zh-CN" w:bidi="ar"/>
        </w:rPr>
        <w:t>4</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维护社会稳定。加强社会治安综合治理，综合协调平安建设工作，强化信访、调解工作，化解农村社会矛盾，维护社会秩序；抓好法制宣传和普法教育，增强干部群众的法制意识，保护各种经济组织的合法权益和公民的合法财产权，保障公民人身权利、民主权利和其他权利。</w:t>
      </w:r>
    </w:p>
    <w:p>
      <w:pPr>
        <w:keepNext w:val="0"/>
        <w:keepLines w:val="0"/>
        <w:pageBreakBefore w:val="0"/>
        <w:widowControl/>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法律、法规、规章和上级规定的其他事项</w:t>
      </w:r>
      <w:r>
        <w:rPr>
          <w:rFonts w:hint="eastAsia" w:ascii="方正仿宋_GBK" w:hAnsi="方正仿宋_GBK" w:eastAsia="方正仿宋_GBK" w:cs="方正仿宋_GBK"/>
          <w:color w:val="000000"/>
          <w:kern w:val="0"/>
          <w:sz w:val="32"/>
          <w:szCs w:val="32"/>
          <w:lang w:eastAsia="zh-CN" w:bidi="ar"/>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2" w:firstLineChars="200"/>
        <w:jc w:val="both"/>
        <w:textAlignment w:val="auto"/>
        <w:rPr>
          <w:rFonts w:hint="eastAsia" w:ascii="方正黑体_GBK" w:hAnsi="方正黑体_GBK" w:eastAsia="方正黑体_GBK" w:cs="方正黑体_GBK"/>
          <w:sz w:val="32"/>
          <w:szCs w:val="32"/>
        </w:rPr>
      </w:pPr>
      <w:r>
        <w:rPr>
          <w:rStyle w:val="9"/>
          <w:rFonts w:hint="eastAsia" w:ascii="方正黑体_GBK" w:hAnsi="方正黑体_GBK" w:eastAsia="方正黑体_GBK" w:cs="方正黑体_GBK"/>
          <w:sz w:val="32"/>
          <w:szCs w:val="32"/>
          <w:shd w:val="clear" w:color="auto" w:fill="FFFFFF"/>
        </w:rPr>
        <w:t>（二）机构设置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000000"/>
          <w:kern w:val="0"/>
          <w:sz w:val="32"/>
          <w:szCs w:val="32"/>
          <w:lang w:val="en-US" w:eastAsia="zh-CN" w:bidi="ar"/>
        </w:rPr>
        <w:t>中梁乡设置下设机构2个，1个行政的单位：巫溪县中梁乡人民政府，1个事业单位：中梁乡农业发展服务中心。分别有17个行政编制，实有14名行政人员，11个事业编制，实有10名事业人员。</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rPr>
          <w:rStyle w:val="9"/>
          <w:rFonts w:hint="eastAsia" w:ascii="方正黑体_GBK" w:hAnsi="方正黑体_GBK" w:eastAsia="方正黑体_GBK" w:cs="方正黑体_GBK"/>
          <w:sz w:val="32"/>
          <w:szCs w:val="32"/>
          <w:shd w:val="clear" w:color="auto" w:fill="FFFFFF"/>
        </w:rPr>
      </w:pPr>
      <w:r>
        <w:rPr>
          <w:rStyle w:val="9"/>
          <w:rFonts w:hint="eastAsia" w:ascii="方正黑体_GBK" w:hAnsi="方正黑体_GBK" w:eastAsia="方正黑体_GBK" w:cs="方正黑体_GBK"/>
          <w:sz w:val="32"/>
          <w:szCs w:val="32"/>
          <w:shd w:val="clear" w:color="auto" w:fill="FFFFFF"/>
        </w:rPr>
        <w:t>二、</w:t>
      </w:r>
      <w:r>
        <w:rPr>
          <w:rStyle w:val="9"/>
          <w:rFonts w:hint="eastAsia" w:ascii="方正黑体_GBK" w:hAnsi="方正黑体_GBK" w:eastAsia="方正黑体_GBK" w:cs="方正黑体_GBK"/>
          <w:sz w:val="32"/>
          <w:szCs w:val="32"/>
          <w:shd w:val="clear" w:color="auto" w:fill="FFFFFF"/>
          <w:lang w:eastAsia="zh-CN"/>
        </w:rPr>
        <w:t>部门</w:t>
      </w:r>
      <w:r>
        <w:rPr>
          <w:rStyle w:val="9"/>
          <w:rFonts w:hint="eastAsia" w:ascii="方正黑体_GBK" w:hAnsi="方正黑体_GBK" w:eastAsia="方正黑体_GBK" w:cs="方正黑体_GBK"/>
          <w:sz w:val="32"/>
          <w:szCs w:val="32"/>
          <w:shd w:val="clear" w:color="auto" w:fill="FFFFFF"/>
        </w:rPr>
        <w:t>决算</w:t>
      </w:r>
      <w:r>
        <w:rPr>
          <w:rStyle w:val="9"/>
          <w:rFonts w:hint="eastAsia" w:ascii="方正黑体_GBK" w:hAnsi="方正黑体_GBK" w:eastAsia="方正黑体_GBK" w:cs="方正黑体_GBK"/>
          <w:sz w:val="32"/>
          <w:szCs w:val="32"/>
          <w:shd w:val="clear" w:color="auto" w:fill="FFFFFF"/>
          <w:lang w:eastAsia="zh-CN"/>
        </w:rPr>
        <w:t>收支</w:t>
      </w:r>
      <w:r>
        <w:rPr>
          <w:rStyle w:val="9"/>
          <w:rFonts w:hint="eastAsia" w:ascii="方正黑体_GBK" w:hAnsi="方正黑体_GBK" w:eastAsia="方正黑体_GBK" w:cs="方正黑体_GBK"/>
          <w:sz w:val="32"/>
          <w:szCs w:val="32"/>
          <w:shd w:val="clear" w:color="auto" w:fill="FFFFFF"/>
        </w:rPr>
        <w:t>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2"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1.总体情况。</w:t>
      </w:r>
      <w:r>
        <w:rPr>
          <w:rFonts w:hint="eastAsia" w:ascii="Times New Roman" w:hAnsi="Times New Roman" w:eastAsia="仿宋_GB2312" w:cs="仿宋_GB2312"/>
          <w:color w:val="000000"/>
          <w:kern w:val="0"/>
          <w:sz w:val="32"/>
          <w:szCs w:val="32"/>
          <w:lang w:val="en-US" w:eastAsia="zh-CN" w:bidi="ar"/>
        </w:rPr>
        <w:t>2024年度收入总计2120.93万元，支出总计2120.93万元。收、支与2023年度相比，增加1054.81万元，增长98.9%，主要原因是2024年较上年增加了巫溪县中梁乡星溪村2024年扶持新型农村集体经济项目，巫溪县2024年中梁乡中梁水库生态鱼养殖基地建设项目等大量项目。</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2"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2.收入情况。</w:t>
      </w:r>
      <w:r>
        <w:rPr>
          <w:rFonts w:hint="eastAsia" w:ascii="Times New Roman" w:hAnsi="Times New Roman" w:eastAsia="仿宋_GB2312" w:cs="仿宋_GB2312"/>
          <w:color w:val="000000"/>
          <w:kern w:val="0"/>
          <w:sz w:val="32"/>
          <w:szCs w:val="32"/>
          <w:lang w:val="en-US" w:eastAsia="zh-CN" w:bidi="ar"/>
        </w:rPr>
        <w:t>2024年度收入合计2120.93万元，与2023年度相比，增加1054.81万元，增长98.9%，主要原因是2024年较上年增加了巫溪县中梁乡星溪村2024年扶持新型农村集体经济项目，巫溪县2024年中梁乡中梁水库生态鱼养殖基地建设项目等大量项目。其中：财政拨款收入2120.93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2"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3.支出情况。</w:t>
      </w:r>
      <w:r>
        <w:rPr>
          <w:rFonts w:hint="eastAsia" w:ascii="Times New Roman" w:hAnsi="Times New Roman" w:eastAsia="仿宋_GB2312" w:cs="仿宋_GB2312"/>
          <w:color w:val="000000"/>
          <w:kern w:val="0"/>
          <w:sz w:val="32"/>
          <w:szCs w:val="32"/>
          <w:lang w:val="en-US" w:eastAsia="zh-CN" w:bidi="ar"/>
        </w:rPr>
        <w:t>2024年度支出合计2120.93万元，与2023年度相比，增加1054.81万元，增长98.9%，主要原因是2024年较上年增加了巫溪县中梁乡星溪村2024年扶持新型农村集体经济项目，巫溪县2024年中梁乡中梁水库生态鱼养殖基地建设项目等大量项目。其中：基本支出638.04万元，占30.08%；项目支出1482.89万元，占69.92%；经营支出0.00万元，占0.00%。此外，结余分配0.00万元。</w:t>
      </w:r>
    </w:p>
    <w:p>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2" w:firstLineChars="200"/>
        <w:jc w:val="both"/>
        <w:textAlignment w:val="auto"/>
        <w:rPr>
          <w:rFonts w:hint="default" w:ascii="Times New Roman" w:hAnsi="Times New Roman" w:eastAsia="仿宋_GB2312" w:cs="仿宋_GB2312"/>
          <w:color w:val="000000"/>
          <w:kern w:val="0"/>
          <w:sz w:val="32"/>
          <w:szCs w:val="32"/>
          <w:lang w:bidi="ar"/>
        </w:rPr>
      </w:pPr>
      <w:r>
        <w:rPr>
          <w:rFonts w:hint="eastAsia" w:ascii="Times New Roman" w:hAnsi="Times New Roman" w:eastAsia="仿宋_GB2312" w:cs="仿宋_GB2312"/>
          <w:b/>
          <w:bCs/>
          <w:color w:val="000000"/>
          <w:kern w:val="0"/>
          <w:sz w:val="32"/>
          <w:szCs w:val="32"/>
          <w:lang w:val="en-US" w:eastAsia="zh-CN" w:bidi="ar"/>
        </w:rPr>
        <w:t>4.结转结余情况。</w:t>
      </w:r>
      <w:r>
        <w:rPr>
          <w:rFonts w:hint="eastAsia" w:ascii="Times New Roman" w:hAnsi="Times New Roman" w:eastAsia="仿宋_GB2312" w:cs="仿宋_GB2312"/>
          <w:color w:val="000000"/>
          <w:kern w:val="0"/>
          <w:sz w:val="32"/>
          <w:szCs w:val="32"/>
          <w:lang w:val="en-US" w:eastAsia="zh-CN" w:bidi="ar"/>
        </w:rPr>
        <w:t>2024年度年末结转和结余0.00万元，与2023年度相比，无增减，主要原因是我乡每年年末均无结转结余。</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财政拨款收、支总计2120.93万元。与2023年相比，财政拨款收、支总计各增加1054.81万元，增长98.9%。主要原因是2024年较上年增加了巫溪县中梁乡星溪村2024年扶持新型农村集体经济项目，巫溪县2024年中梁乡中梁水库生态鱼养殖基地建设项目等大量项目。</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1.收入情况。</w:t>
      </w:r>
      <w:r>
        <w:rPr>
          <w:rFonts w:hint="eastAsia" w:ascii="Times New Roman" w:hAnsi="Times New Roman" w:eastAsia="仿宋_GB2312" w:cs="仿宋_GB2312"/>
          <w:color w:val="000000"/>
          <w:kern w:val="0"/>
          <w:sz w:val="32"/>
          <w:szCs w:val="32"/>
          <w:lang w:val="en-US" w:eastAsia="zh-CN" w:bidi="ar"/>
        </w:rPr>
        <w:t>2024年度一般公共预算财政拨款收入2120.93万元，与2023年度相比，增加1054.81万元，增长98.9%。主要原因是2024年较上年增加了巫溪县中梁乡星溪村2024年扶持新型农村集体经济项目，巫溪县2024年中梁乡中梁水库生态鱼养殖基地建设项目等大量项目。较年初预算数增加1359.93万元，增长178.7%。主要原因是项目资金未进入年初预算，而是在年中进行追加。此外，年初财政拨款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2.支出情况。</w:t>
      </w:r>
      <w:r>
        <w:rPr>
          <w:rFonts w:hint="eastAsia" w:ascii="Times New Roman" w:hAnsi="Times New Roman" w:eastAsia="仿宋_GB2312" w:cs="仿宋_GB2312"/>
          <w:color w:val="000000"/>
          <w:kern w:val="0"/>
          <w:sz w:val="32"/>
          <w:szCs w:val="32"/>
          <w:lang w:val="en-US" w:eastAsia="zh-CN" w:bidi="ar"/>
        </w:rPr>
        <w:t>2024年度一般公共预算财政拨款支出2120.93万元，与2023年度相比，增加1054.81万元，增长98.9%。主要原因是2024年较上年增加了巫溪县中梁乡星溪村2024年扶持新型农村集体经济项目，巫溪县2024年中梁乡中梁水库生态鱼养殖基地建设项目等大量项目。较年初预算数增加1359.93万元，增长178.7%。主要原因是项目资金未进入年初预算，而是在年中进行追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3.结转结余情况。</w:t>
      </w:r>
      <w:r>
        <w:rPr>
          <w:rFonts w:hint="eastAsia" w:ascii="Times New Roman" w:hAnsi="Times New Roman" w:eastAsia="仿宋_GB2312" w:cs="仿宋_GB2312"/>
          <w:color w:val="000000"/>
          <w:kern w:val="0"/>
          <w:sz w:val="32"/>
          <w:szCs w:val="32"/>
          <w:lang w:val="en-US" w:eastAsia="zh-CN" w:bidi="ar"/>
        </w:rPr>
        <w:t>2024年度年末一般公共预算财政拨款结转和结余0.00万元，与2023年度相比，无增减，主要原因是我乡每年年末均无结转结余。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4.比较情况。</w:t>
      </w:r>
      <w:r>
        <w:rPr>
          <w:rFonts w:hint="eastAsia" w:ascii="Times New Roman" w:hAnsi="Times New Roman" w:eastAsia="仿宋_GB2312" w:cs="仿宋_GB2312"/>
          <w:color w:val="000000"/>
          <w:kern w:val="0"/>
          <w:sz w:val="32"/>
          <w:szCs w:val="32"/>
          <w:lang w:val="en-US" w:eastAsia="zh-CN" w:bidi="ar"/>
        </w:rPr>
        <w:t>本部门2024年度一般公共预算财政拨款支出主要用于以下几个方面：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（1）一般公共服务支出401.87万元，占18.95%，较年初预算数减少18.25万元，下降4.3%，主要原因是有1名行政人员调出县外，1名事业人员辞职。</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（2）社会保障与就业支出181.76万元，占8.57%，较年初预算数增加61.92万元，增长51.7%，主要原因是部分资金未进入年初预算，而是在年中进行追加。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（3）卫生健康支出26.39万元，占1.24%，较年初预算数无增减，主要原因是年中未调整预算。</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（4）节能环保支出42.34万元，占2.00%，较年初预算数增加42.34万元，增长100.0%，主要原因是年中追加了生态护林员管护等项目。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（5）农林水支出1238.71万元，占58.40%，较年初预算数增加1079.16万元，增长676.4%，主要原因是年中追加了动物防疫、公益性岗位、跨区域交通补助、安全饮水等多个项目。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（6）交通运输支出166.00万元，占7.83%，较年初预算数增加166.00万元，增长100.0%，主要原因是年中追加了公路建设等项目。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（7）住房保障支出45.62万元，占2.15%，较年初预算数增加10.50万元，增长29.9%，主要原因是年中追加了农村危房改造等项目。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Times New Roman" w:hAnsi="Times New Roman" w:eastAsia="仿宋_GB2312" w:cs="仿宋_GB2312"/>
          <w:color w:val="000000"/>
          <w:kern w:val="0"/>
          <w:sz w:val="32"/>
          <w:szCs w:val="32"/>
          <w:lang w:val="en-US" w:eastAsia="zh-CN" w:bidi="ar"/>
        </w:rPr>
        <w:t>（8）灾害防治及应急管理支出18.26万元，占0.86%，较年初预算数增加18.26万元，增长100.0%，主要原因是</w:t>
      </w:r>
      <w:bookmarkStart w:id="0" w:name="_GoBack"/>
      <w:bookmarkEnd w:id="0"/>
      <w:r>
        <w:rPr>
          <w:rFonts w:hint="eastAsia" w:ascii="Times New Roman" w:hAnsi="Times New Roman" w:eastAsia="仿宋_GB2312" w:cs="仿宋_GB2312"/>
          <w:color w:val="000000"/>
          <w:kern w:val="0"/>
          <w:sz w:val="32"/>
          <w:szCs w:val="32"/>
          <w:lang w:val="en-US" w:eastAsia="zh-CN" w:bidi="ar"/>
        </w:rPr>
        <w:t>年中追加了市级自然灾害救灾补助资金，中央自然灾害救灾补助资金等项目。</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仿宋_GB2312" w:cs="仿宋_GB2312"/>
          <w:color w:val="000000"/>
          <w:kern w:val="0"/>
          <w:sz w:val="32"/>
          <w:szCs w:val="32"/>
          <w:lang w:val="en-US" w:eastAsia="zh-CN" w:bidi="ar"/>
        </w:rPr>
        <w:t> 2024年度一般公共财政拨款基本支出638.04万元。其中：人员经费546.94万元，与2023年度相比，增加82.38万元，增长17.7%，主要原因是人员的变动。人员经费用途主要包括基本工资、津贴补贴、奖金、绩效工资、社会保障缴费、住房公积金、医疗费、其他工资福利支出。公用经费91.11万元，与2023年度相比，增加9.83万元，增长12.1%，主要原因是物价上涨和成本上升。公用经费用途主要包括办公费、印刷费、水费、电费、差旅费、公务接待费、福利费、其他商品和服务支出、公务用车运行维护费。</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本部门2024年度无政府性基金预算财政拨款收支。</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00" w:firstLineChars="200"/>
        <w:jc w:val="both"/>
        <w:textAlignment w:val="auto"/>
        <w:rPr>
          <w:rFonts w:hint="default" w:ascii="Times New Roman" w:hAnsi="Times New Roman" w:eastAsia="仿宋_GB2312" w:cs="仿宋_GB2312"/>
          <w:color w:val="000000"/>
          <w:kern w:val="0"/>
          <w:sz w:val="30"/>
          <w:szCs w:val="30"/>
          <w:lang w:val="en-US" w:eastAsia="zh-CN" w:bidi="ar"/>
        </w:rPr>
      </w:pPr>
      <w:r>
        <w:rPr>
          <w:rFonts w:hint="eastAsia" w:ascii="Times New Roman" w:hAnsi="Times New Roman" w:eastAsia="仿宋_GB2312" w:cs="仿宋_GB2312"/>
          <w:color w:val="000000"/>
          <w:kern w:val="0"/>
          <w:sz w:val="30"/>
          <w:szCs w:val="30"/>
          <w:lang w:val="en-US" w:eastAsia="zh-CN" w:bidi="ar"/>
        </w:rPr>
        <w:t> 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2024年度“三公”经费支出共计9.00万元，较年初预算数无增减，主要原因是年中未调整预算。较上年支出数减少3.00万元，下降25.0%，主要原因是政策调控收紧，减少了“三公”经费支出。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本部门因公出国（境）费用0.00万元，主要是用于因公出国（境）相关费用。费用支出较年初预算数无增减，主要原因是贯彻落实中央八项规定、压缩开支，年中未调整预算。与2023年度相比，无增减，主要原因是本单位2023年-2024年度均未发生因公出国（境）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公务车购置费0.00万元，主要用于购买公务用车等。费用支出较年初预算数无增减。费用支出较年初预算数无增减，主要原因是贯彻落实中央八项规定、压缩开支，年中未调整预算。与2023年度相比，无增减，主要原因是本单位2023年-2024年度均未发生公务车购置费用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仿宋_GB2312" w:cs="仿宋_GB2312"/>
          <w:color w:val="000000"/>
          <w:kern w:val="0"/>
          <w:sz w:val="32"/>
          <w:szCs w:val="32"/>
          <w:lang w:val="en-US" w:eastAsia="zh-CN" w:bidi="ar"/>
        </w:rPr>
        <w:t> 公务车运行维护费7.00万元，主要用于公车维修，公车加油等。费用支出较年初预算数无增减，主要原因是贯彻落实中央八项规定、压缩开支，年中未调整预算。较上年支出数无增减，主要原因是年中未调整预算。</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公务接待费2.00万元，主要用于接待所产生的住宿费，用餐费等。费用支出较年初预算数无增减，主要原因是贯彻落实中央八项规定、压缩开支，年中未调整预算。较上年支出数减少3.00万元，下降60.0%，主要原因是政策调控收紧，减少了公务接待费支出。</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Times New Roman" w:hAnsi="Times New Roman" w:eastAsia="仿宋_GB2312" w:cs="仿宋_GB2312"/>
          <w:color w:val="000000"/>
          <w:kern w:val="0"/>
          <w:sz w:val="32"/>
          <w:szCs w:val="32"/>
          <w:lang w:val="en-US" w:eastAsia="zh-CN" w:bidi="ar"/>
        </w:rPr>
        <w:t xml:space="preserve"> 2024年度本部门因公出国（境）共计0个团组，0人；公务用车购置0辆，公务车保有量为3辆；国内公务接待80批次350人，其中：国内外事接待0批次，0人；国（境）外公务接待0批次，0人。2024年本部门人均接待费57.14元，车均购置费0万元，车均维护费2.33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年度会议费支出10.70万元，与2023年度相比，增加4.80万元，增长81.4%，主要原因是2024年会议数量和会议材料成本较上年均有所增加。。本年度培训费支出0.50万元，与2023年度相比，减少0.50万元，下降50.0%，主要原因</w:t>
      </w:r>
      <w:r>
        <w:rPr>
          <w:rFonts w:hint="default" w:ascii="Times New Roman" w:hAnsi="Times New Roman" w:eastAsia="仿宋_GB2312" w:cs="仿宋_GB2312"/>
          <w:color w:val="000000"/>
          <w:kern w:val="0"/>
          <w:sz w:val="32"/>
          <w:szCs w:val="32"/>
          <w:lang w:val="en-US" w:eastAsia="zh-CN" w:bidi="ar"/>
        </w:rPr>
        <w:t>是</w:t>
      </w:r>
      <w:r>
        <w:rPr>
          <w:rFonts w:hint="eastAsia" w:ascii="Times New Roman" w:hAnsi="Times New Roman" w:eastAsia="仿宋_GB2312" w:cs="仿宋_GB2312"/>
          <w:color w:val="000000"/>
          <w:kern w:val="0"/>
          <w:sz w:val="32"/>
          <w:szCs w:val="32"/>
          <w:lang w:val="en-US" w:eastAsia="zh-CN" w:bidi="ar"/>
        </w:rPr>
        <w:t>严格控制了培训费支出。</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本部门机关运行经费支出68.82万元，机关运行经费主要用于开支办公费、印刷费、咨询费、手续费、会议费、培训费、公务接待费等。机关运行经费较上年支出数增加9.72万元，增长16.5%，主要原因是会议数量增加导致会议费增加，物价上涨导致办公费增加。</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仿宋_GB2312" w:cs="仿宋_GB2312"/>
          <w:color w:val="000000"/>
          <w:kern w:val="0"/>
          <w:sz w:val="32"/>
          <w:szCs w:val="32"/>
          <w:lang w:val="en-US" w:eastAsia="zh-CN" w:bidi="ar"/>
        </w:rPr>
        <w:t>截至2024年12月31日，本部门共有车辆3辆，其中，副部（省）级及以上领导用车0辆、主要负责人用车0辆、机要通信用车0辆、应急保障用车2辆、执法执勤用车0辆，特种专业技术用车1辆，离退休干部用车0辆。单价100万元（含）以上专用设备0台（套）。</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2024年度本部门政府采购支出总额49.78万元，其中：政府采购货物支出49.78万元、政府采购工程支出0.00万元、政府采购服务支出0.00万元。授予中小企业合同金额49.78万元，占政府采购支出总额的100.00%，其中：授予小微企业合同金额49.78万元，占政府采购支出总额的100.00 %。主要用于采购计算机，鱼苗。</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2" w:firstLineChars="200"/>
        <w:jc w:val="both"/>
        <w:textAlignment w:val="auto"/>
        <w:rPr>
          <w:rStyle w:val="9"/>
          <w:rFonts w:hint="eastAsia" w:ascii="黑体" w:hAnsi="黑体" w:eastAsia="黑体" w:cs="黑体"/>
          <w:sz w:val="32"/>
          <w:szCs w:val="32"/>
          <w:shd w:val="clear" w:color="auto" w:fill="FFFFFF"/>
          <w:lang w:val="en-US" w:eastAsia="zh-CN" w:bidi="ar-SA"/>
        </w:rPr>
      </w:pPr>
      <w:r>
        <w:rPr>
          <w:rStyle w:val="9"/>
          <w:rFonts w:hint="eastAsia" w:ascii="黑体" w:hAnsi="黑体" w:eastAsia="黑体" w:cs="黑体"/>
          <w:sz w:val="32"/>
          <w:szCs w:val="32"/>
          <w:shd w:val="clear" w:color="auto" w:fill="FFFFFF"/>
          <w:lang w:val="en-US" w:eastAsia="zh-CN" w:bidi="ar-SA"/>
        </w:rPr>
        <w:t>五、2024年度预算绩效管理情况说明</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2"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应当参照如下格式说明：根据预算绩效管理要求，我部门（单位）对部门整体和1个一级项目、55个二级项目开展了绩效自评，涉及财政拨款项目支出资金2120.93万元。</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7"/>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19"/>
        <w:gridCol w:w="526"/>
        <w:gridCol w:w="146"/>
        <w:gridCol w:w="569"/>
        <w:gridCol w:w="876"/>
        <w:gridCol w:w="796"/>
        <w:gridCol w:w="847"/>
        <w:gridCol w:w="730"/>
        <w:gridCol w:w="730"/>
        <w:gridCol w:w="424"/>
        <w:gridCol w:w="555"/>
        <w:gridCol w:w="570"/>
        <w:gridCol w:w="65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5" w:hRule="atLeast"/>
        </w:trPr>
        <w:tc>
          <w:tcPr>
            <w:tcW w:w="8345" w:type="dxa"/>
            <w:gridSpan w:val="1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ascii="微软雅黑" w:hAnsi="微软雅黑" w:eastAsia="微软雅黑" w:cs="微软雅黑"/>
                <w:color w:val="333333"/>
                <w:sz w:val="18"/>
                <w:szCs w:val="18"/>
              </w:rPr>
              <w:t>202</w:t>
            </w:r>
            <w:r>
              <w:rPr>
                <w:rStyle w:val="9"/>
                <w:rFonts w:hint="eastAsia" w:ascii="微软雅黑" w:hAnsi="微软雅黑" w:eastAsia="微软雅黑" w:cs="微软雅黑"/>
                <w:color w:val="333333"/>
                <w:sz w:val="18"/>
                <w:szCs w:val="18"/>
                <w:lang w:val="en-US" w:eastAsia="zh-CN"/>
              </w:rPr>
              <w:t>4</w:t>
            </w:r>
            <w:r>
              <w:rPr>
                <w:rStyle w:val="9"/>
                <w:rFonts w:ascii="微软雅黑" w:hAnsi="微软雅黑" w:eastAsia="微软雅黑" w:cs="微软雅黑"/>
                <w:color w:val="333333"/>
                <w:sz w:val="18"/>
                <w:szCs w:val="18"/>
              </w:rPr>
              <w:t>年度部门整体绩效自评表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项目名称：</w:t>
            </w:r>
          </w:p>
        </w:tc>
        <w:tc>
          <w:tcPr>
            <w:tcW w:w="124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color w:val="333333"/>
                <w:sz w:val="18"/>
                <w:szCs w:val="18"/>
              </w:rPr>
              <w:t>巫溪县中梁乡人民政府整体</w:t>
            </w:r>
            <w:r>
              <w:rPr>
                <w:rFonts w:hint="eastAsia" w:cs="宋体"/>
                <w:color w:val="333333"/>
                <w:sz w:val="18"/>
                <w:szCs w:val="18"/>
                <w:lang w:val="en-US" w:eastAsia="zh-CN"/>
              </w:rPr>
              <w:t>监控</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项目编码：</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50023800024P000097</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自评总分：</w:t>
            </w:r>
          </w:p>
        </w:tc>
        <w:tc>
          <w:tcPr>
            <w:tcW w:w="115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eastAsia="zh-CN"/>
              </w:rPr>
            </w:pPr>
            <w:r>
              <w:rPr>
                <w:rFonts w:hint="eastAsia" w:cs="宋体"/>
                <w:color w:val="333333"/>
                <w:sz w:val="18"/>
                <w:szCs w:val="18"/>
                <w:lang w:val="en-US" w:eastAsia="zh-CN"/>
              </w:rPr>
              <w:t>100.00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ascii="微软雅黑" w:hAnsi="微软雅黑" w:eastAsia="微软雅黑" w:cs="微软雅黑"/>
                <w:color w:val="333333"/>
                <w:sz w:val="24"/>
                <w:szCs w:val="24"/>
              </w:rPr>
            </w:pPr>
          </w:p>
        </w:tc>
        <w:tc>
          <w:tcPr>
            <w:tcW w:w="122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项目主管部门：</w:t>
            </w:r>
          </w:p>
        </w:tc>
        <w:tc>
          <w:tcPr>
            <w:tcW w:w="124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528-巫溪县中梁乡人民政府</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财政归口科室：</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010-基财科</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部门联系人：</w:t>
            </w:r>
          </w:p>
        </w:tc>
        <w:tc>
          <w:tcPr>
            <w:tcW w:w="115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eastAsia="zh-CN"/>
              </w:rPr>
            </w:pPr>
            <w:r>
              <w:rPr>
                <w:rFonts w:hint="eastAsia" w:ascii="宋体" w:hAnsi="宋体" w:eastAsia="宋体" w:cs="宋体"/>
                <w:color w:val="333333"/>
                <w:sz w:val="18"/>
                <w:szCs w:val="18"/>
                <w:lang w:val="en-US" w:eastAsia="zh-CN"/>
              </w:rPr>
              <w:t>谭星星</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联系电话：</w:t>
            </w:r>
          </w:p>
        </w:tc>
        <w:tc>
          <w:tcPr>
            <w:tcW w:w="122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eastAsia="zh-CN"/>
              </w:rPr>
            </w:pPr>
            <w:r>
              <w:rPr>
                <w:rFonts w:hint="eastAsia" w:cs="宋体"/>
                <w:color w:val="333333"/>
                <w:sz w:val="18"/>
                <w:szCs w:val="18"/>
                <w:lang w:val="en-US" w:eastAsia="zh-CN"/>
              </w:rPr>
              <w:t>51417520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8345" w:type="dxa"/>
            <w:gridSpan w:val="1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资金情况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144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年初预算数</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全年（调整）预算数</w:t>
            </w:r>
          </w:p>
        </w:tc>
        <w:tc>
          <w:tcPr>
            <w:tcW w:w="188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全年执行数</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执行率权重</w:t>
            </w: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执行率得分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144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Fonts w:hint="eastAsia" w:ascii="宋体" w:hAnsi="宋体" w:eastAsia="宋体" w:cs="宋体"/>
                <w:color w:val="333333"/>
                <w:sz w:val="18"/>
                <w:szCs w:val="18"/>
              </w:rPr>
              <w:t>年度总金额</w:t>
            </w:r>
          </w:p>
        </w:tc>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7,610,037.44</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21,489,471.97</w:t>
            </w:r>
          </w:p>
        </w:tc>
        <w:tc>
          <w:tcPr>
            <w:tcW w:w="188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21,209,327.97</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144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Fonts w:hint="eastAsia" w:ascii="宋体" w:hAnsi="宋体" w:eastAsia="宋体" w:cs="宋体"/>
                <w:color w:val="333333"/>
                <w:sz w:val="18"/>
                <w:szCs w:val="18"/>
              </w:rPr>
              <w:t>其中：财政拨款</w:t>
            </w:r>
          </w:p>
        </w:tc>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7,610,037.44</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21,489,471.97</w:t>
            </w:r>
          </w:p>
        </w:tc>
        <w:tc>
          <w:tcPr>
            <w:tcW w:w="188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21,209,327.97</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rPr>
              <w:t>9</w:t>
            </w:r>
            <w:r>
              <w:rPr>
                <w:rFonts w:hint="eastAsia" w:cs="宋体"/>
                <w:color w:val="333333"/>
                <w:sz w:val="18"/>
                <w:szCs w:val="18"/>
                <w:lang w:val="en-US" w:eastAsia="zh-CN"/>
              </w:rPr>
              <w:t>8</w:t>
            </w:r>
            <w:r>
              <w:rPr>
                <w:rFonts w:hint="eastAsia" w:ascii="宋体" w:hAnsi="宋体" w:eastAsia="宋体" w:cs="宋体"/>
                <w:color w:val="333333"/>
                <w:sz w:val="18"/>
                <w:szCs w:val="18"/>
              </w:rPr>
              <w:t>.</w:t>
            </w:r>
            <w:r>
              <w:rPr>
                <w:rFonts w:hint="eastAsia" w:cs="宋体"/>
                <w:color w:val="333333"/>
                <w:sz w:val="18"/>
                <w:szCs w:val="18"/>
                <w:lang w:val="en-US" w:eastAsia="zh-CN"/>
              </w:rPr>
              <w:t>70</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Fonts w:hint="eastAsia" w:ascii="宋体" w:hAnsi="宋体" w:eastAsia="宋体" w:cs="宋体"/>
                <w:color w:val="333333"/>
                <w:sz w:val="18"/>
                <w:szCs w:val="18"/>
              </w:rPr>
              <w:t>10.00</w:t>
            </w: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default" w:ascii="宋体" w:hAnsi="宋体" w:eastAsia="宋体" w:cs="宋体"/>
                <w:sz w:val="24"/>
                <w:szCs w:val="24"/>
                <w:lang w:val="en-US" w:eastAsia="zh-CN"/>
              </w:rPr>
            </w:pPr>
            <w:r>
              <w:rPr>
                <w:rFonts w:hint="eastAsia" w:ascii="宋体" w:hAnsi="宋体" w:eastAsia="宋体" w:cs="宋体"/>
                <w:color w:val="333333"/>
                <w:sz w:val="18"/>
                <w:szCs w:val="18"/>
              </w:rPr>
              <w:t>9.</w:t>
            </w:r>
            <w:r>
              <w:rPr>
                <w:rFonts w:hint="eastAsia" w:cs="宋体"/>
                <w:color w:val="333333"/>
                <w:sz w:val="18"/>
                <w:szCs w:val="18"/>
                <w:lang w:val="en-US" w:eastAsia="zh-CN"/>
              </w:rPr>
              <w:t>87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144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一般公共预算</w:t>
            </w:r>
          </w:p>
        </w:tc>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7,610,037.44</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21,489,471.97</w:t>
            </w:r>
          </w:p>
        </w:tc>
        <w:tc>
          <w:tcPr>
            <w:tcW w:w="188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21,209,327.97</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9</w:t>
            </w:r>
            <w:r>
              <w:rPr>
                <w:rFonts w:hint="eastAsia" w:cs="宋体"/>
                <w:color w:val="333333"/>
                <w:sz w:val="18"/>
                <w:szCs w:val="18"/>
                <w:lang w:val="en-US" w:eastAsia="zh-CN"/>
              </w:rPr>
              <w:t>8</w:t>
            </w:r>
            <w:r>
              <w:rPr>
                <w:rFonts w:hint="eastAsia" w:ascii="宋体" w:hAnsi="宋体" w:eastAsia="宋体" w:cs="宋体"/>
                <w:color w:val="333333"/>
                <w:sz w:val="18"/>
                <w:szCs w:val="18"/>
              </w:rPr>
              <w:t>.</w:t>
            </w:r>
            <w:r>
              <w:rPr>
                <w:rFonts w:hint="eastAsia" w:cs="宋体"/>
                <w:color w:val="333333"/>
                <w:sz w:val="18"/>
                <w:szCs w:val="18"/>
                <w:lang w:val="en-US" w:eastAsia="zh-CN"/>
              </w:rPr>
              <w:t>70</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8345" w:type="dxa"/>
            <w:gridSpan w:val="1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绩效目标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3036"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年初绩效目标</w:t>
            </w:r>
          </w:p>
        </w:tc>
        <w:tc>
          <w:tcPr>
            <w:tcW w:w="3527"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全年（调整）绩效目标</w:t>
            </w:r>
          </w:p>
        </w:tc>
        <w:tc>
          <w:tcPr>
            <w:tcW w:w="178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全年目标实际完成情况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05" w:hRule="atLeast"/>
        </w:trPr>
        <w:tc>
          <w:tcPr>
            <w:tcW w:w="3036"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sz w:val="24"/>
                <w:szCs w:val="24"/>
              </w:rPr>
            </w:pPr>
            <w:r>
              <w:rPr>
                <w:rFonts w:hint="eastAsia" w:ascii="宋体" w:hAnsi="宋体" w:eastAsia="宋体" w:cs="宋体"/>
                <w:color w:val="333333"/>
                <w:sz w:val="18"/>
                <w:szCs w:val="18"/>
              </w:rPr>
              <w:t>加强政府职能建设，不断提高政府履职水平和能力，加强社会就业与保障事务管理，关爱残疾人、低保、五保、留守儿童等社会弱势群体。聚焦产业发展和基础设施建设，积极开发公益性岗位，解决好辖区内劳动力就业需求。加强疫情防控工作，搞好辖区内平安建设，加强预决算公开力度，严控</w:t>
            </w:r>
            <w:r>
              <w:rPr>
                <w:rFonts w:hint="eastAsia" w:cs="宋体"/>
                <w:color w:val="333333"/>
                <w:sz w:val="18"/>
                <w:szCs w:val="18"/>
                <w:lang w:eastAsia="zh-CN"/>
              </w:rPr>
              <w:t>“三公”</w:t>
            </w:r>
            <w:r>
              <w:rPr>
                <w:rFonts w:hint="eastAsia" w:ascii="宋体" w:hAnsi="宋体" w:eastAsia="宋体" w:cs="宋体"/>
                <w:color w:val="333333"/>
                <w:sz w:val="18"/>
                <w:szCs w:val="18"/>
              </w:rPr>
              <w:t>经费，合理高效利用资金，使资金广泛用于中梁乡的社会经济发展。</w:t>
            </w:r>
          </w:p>
        </w:tc>
        <w:tc>
          <w:tcPr>
            <w:tcW w:w="3527"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178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sz w:val="24"/>
                <w:szCs w:val="24"/>
              </w:rPr>
            </w:pPr>
            <w:r>
              <w:rPr>
                <w:rFonts w:hint="eastAsia" w:ascii="宋体" w:hAnsi="宋体" w:eastAsia="宋体" w:cs="宋体"/>
                <w:color w:val="333333"/>
                <w:sz w:val="18"/>
                <w:szCs w:val="18"/>
              </w:rPr>
              <w:t>加强政府职能建设，不断提高政府履职水平和能力，加强社会就业与保障事务管理，关爱残疾人、低保、五保、留守儿童等社会弱势群体。聚焦产业发展和基础设施建设，积极开发公益性岗位，解决好辖区内劳动力就业需求。加强疫情防控工作，搞好辖区内平安建设，加强预决算公开力度，严控</w:t>
            </w:r>
            <w:r>
              <w:rPr>
                <w:rFonts w:hint="eastAsia" w:cs="宋体"/>
                <w:color w:val="333333"/>
                <w:sz w:val="18"/>
                <w:szCs w:val="18"/>
                <w:lang w:eastAsia="zh-CN"/>
              </w:rPr>
              <w:t>“三公”</w:t>
            </w:r>
            <w:r>
              <w:rPr>
                <w:rFonts w:hint="eastAsia" w:ascii="宋体" w:hAnsi="宋体" w:eastAsia="宋体" w:cs="宋体"/>
                <w:color w:val="333333"/>
                <w:sz w:val="18"/>
                <w:szCs w:val="18"/>
              </w:rPr>
              <w:t>经费，合理高效利用资金，使资金广泛用于中梁乡的社会经济发展。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0" w:hRule="atLeast"/>
        </w:trPr>
        <w:tc>
          <w:tcPr>
            <w:tcW w:w="8345" w:type="dxa"/>
            <w:gridSpan w:val="1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绩效指标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指标名称</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计量单位</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指标性质</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指标值</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全年完成值</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偏离度（%）</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得分系数（%）</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指标权重</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指标得分</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是否核心指标</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说明</w:t>
            </w: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市财政局建议</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行政管理效率</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99</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99</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年度预决算按时公开率</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年度目标考核任务完成率</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90</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90</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补助惠民惠农政策落实率</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产业发展、基础设施建设水平</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定性</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明显改善</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全部完成</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政务服务居民满意度</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90</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90</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bl>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7"/>
        <w:tblW w:w="5000" w:type="pct"/>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3"/>
        <w:gridCol w:w="923"/>
        <w:gridCol w:w="484"/>
        <w:gridCol w:w="717"/>
        <w:gridCol w:w="1857"/>
        <w:gridCol w:w="177"/>
        <w:gridCol w:w="468"/>
        <w:gridCol w:w="468"/>
        <w:gridCol w:w="549"/>
        <w:gridCol w:w="78"/>
        <w:gridCol w:w="483"/>
        <w:gridCol w:w="378"/>
        <w:gridCol w:w="212"/>
        <w:gridCol w:w="253"/>
        <w:gridCol w:w="133"/>
        <w:gridCol w:w="332"/>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8345" w:type="dxa"/>
            <w:gridSpan w:val="1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微软雅黑" w:hAnsi="微软雅黑" w:eastAsia="微软雅黑" w:cs="微软雅黑"/>
                <w:color w:val="333333"/>
                <w:sz w:val="18"/>
                <w:szCs w:val="18"/>
              </w:rPr>
              <w:t>202</w:t>
            </w:r>
            <w:r>
              <w:rPr>
                <w:rStyle w:val="9"/>
                <w:rFonts w:hint="eastAsia" w:ascii="微软雅黑" w:hAnsi="微软雅黑" w:eastAsia="微软雅黑" w:cs="微软雅黑"/>
                <w:color w:val="333333"/>
                <w:sz w:val="18"/>
                <w:szCs w:val="18"/>
                <w:lang w:val="en-US" w:eastAsia="zh-CN"/>
              </w:rPr>
              <w:t>4</w:t>
            </w:r>
            <w:r>
              <w:rPr>
                <w:rStyle w:val="9"/>
                <w:rFonts w:hint="eastAsia" w:ascii="微软雅黑" w:hAnsi="微软雅黑" w:eastAsia="微软雅黑" w:cs="微软雅黑"/>
                <w:color w:val="333333"/>
                <w:sz w:val="18"/>
                <w:szCs w:val="18"/>
              </w:rPr>
              <w:t>年度二级项目绩效自评表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项目名称：</w:t>
            </w:r>
          </w:p>
        </w:tc>
        <w:tc>
          <w:tcPr>
            <w:tcW w:w="140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中梁乡烟草产业发展项目（溪烟草组办发〔202</w:t>
            </w:r>
            <w:r>
              <w:rPr>
                <w:rFonts w:hint="eastAsia" w:cs="宋体"/>
                <w:color w:val="333333"/>
                <w:sz w:val="18"/>
                <w:szCs w:val="18"/>
                <w:lang w:val="en-US" w:eastAsia="zh-CN"/>
              </w:rPr>
              <w:t>4</w:t>
            </w:r>
            <w:r>
              <w:rPr>
                <w:rFonts w:hint="eastAsia" w:ascii="宋体" w:hAnsi="宋体" w:eastAsia="宋体" w:cs="宋体"/>
                <w:color w:val="333333"/>
                <w:sz w:val="18"/>
                <w:szCs w:val="18"/>
              </w:rPr>
              <w:t>〕7号）</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项目编码：</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50023825T000004591570</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自评总分：</w:t>
            </w:r>
          </w:p>
        </w:tc>
        <w:tc>
          <w:tcPr>
            <w:tcW w:w="62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100.00</w:t>
            </w:r>
          </w:p>
        </w:tc>
        <w:tc>
          <w:tcPr>
            <w:tcW w:w="8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93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项目主管部门：</w:t>
            </w:r>
          </w:p>
        </w:tc>
        <w:tc>
          <w:tcPr>
            <w:tcW w:w="140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528-巫溪县中梁乡人民政府</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财政归口科室：</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010-基财科</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部门联系人：</w:t>
            </w:r>
          </w:p>
        </w:tc>
        <w:tc>
          <w:tcPr>
            <w:tcW w:w="62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谢守勇</w:t>
            </w:r>
          </w:p>
        </w:tc>
        <w:tc>
          <w:tcPr>
            <w:tcW w:w="8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联系电话：</w:t>
            </w:r>
          </w:p>
        </w:tc>
        <w:tc>
          <w:tcPr>
            <w:tcW w:w="93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eastAsia="zh-CN"/>
              </w:rPr>
            </w:pPr>
            <w:r>
              <w:rPr>
                <w:rFonts w:hint="eastAsia" w:cs="宋体"/>
                <w:color w:val="333333"/>
                <w:sz w:val="18"/>
                <w:szCs w:val="18"/>
                <w:lang w:val="en-US" w:eastAsia="zh-CN"/>
              </w:rPr>
              <w:t>51417520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8345" w:type="dxa"/>
            <w:gridSpan w:val="1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资金情况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17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年初预算数</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全年（调整）预算数</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全年执行数</w:t>
            </w:r>
          </w:p>
        </w:tc>
        <w:tc>
          <w:tcPr>
            <w:tcW w:w="148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执行率权重</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执行率得分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17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年度总金额</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sz w:val="24"/>
                <w:szCs w:val="24"/>
              </w:rPr>
            </w:pPr>
            <w:r>
              <w:rPr>
                <w:rFonts w:hint="eastAsia" w:ascii="宋体" w:hAnsi="宋体" w:eastAsia="宋体" w:cs="宋体"/>
                <w:color w:val="333333"/>
                <w:sz w:val="18"/>
                <w:szCs w:val="18"/>
              </w:rPr>
              <w:t>0.00</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48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17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其中：财政拨款</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sz w:val="24"/>
                <w:szCs w:val="24"/>
              </w:rPr>
            </w:pPr>
            <w:r>
              <w:rPr>
                <w:rFonts w:hint="eastAsia" w:ascii="宋体" w:hAnsi="宋体" w:eastAsia="宋体" w:cs="宋体"/>
                <w:color w:val="333333"/>
                <w:sz w:val="18"/>
                <w:szCs w:val="18"/>
              </w:rPr>
              <w:t>0.00</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48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ascii="宋体" w:hAnsi="宋体" w:eastAsia="宋体" w:cs="宋体"/>
                <w:color w:val="333333"/>
                <w:sz w:val="18"/>
                <w:szCs w:val="18"/>
              </w:rPr>
              <w:t>10.00</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ascii="宋体" w:hAnsi="宋体" w:eastAsia="宋体" w:cs="宋体"/>
                <w:color w:val="333333"/>
                <w:sz w:val="18"/>
                <w:szCs w:val="18"/>
              </w:rPr>
              <w:t>10.00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17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一般公共预算</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sz w:val="24"/>
                <w:szCs w:val="24"/>
                <w:lang w:val="en-US" w:eastAsia="zh-CN" w:bidi="ar-SA"/>
              </w:rPr>
            </w:pPr>
            <w:r>
              <w:rPr>
                <w:rFonts w:hint="eastAsia" w:ascii="宋体" w:hAnsi="宋体" w:eastAsia="宋体" w:cs="宋体"/>
                <w:color w:val="333333"/>
                <w:sz w:val="18"/>
                <w:szCs w:val="18"/>
              </w:rPr>
              <w:t>0.00</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sz w:val="24"/>
                <w:szCs w:val="24"/>
                <w:lang w:val="en-US" w:eastAsia="zh-CN" w:bidi="ar-SA"/>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sz w:val="24"/>
                <w:szCs w:val="24"/>
                <w:lang w:val="en-US" w:eastAsia="zh-CN" w:bidi="ar-SA"/>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48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sz w:val="24"/>
                <w:szCs w:val="24"/>
                <w:lang w:val="en-US" w:eastAsia="zh-CN" w:bidi="ar-SA"/>
              </w:rPr>
            </w:pPr>
            <w:r>
              <w:rPr>
                <w:rFonts w:hint="eastAsia" w:ascii="宋体" w:hAnsi="宋体" w:eastAsia="宋体" w:cs="宋体"/>
                <w:color w:val="333333"/>
                <w:sz w:val="18"/>
                <w:szCs w:val="18"/>
              </w:rPr>
              <w:t>100</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sz w:val="24"/>
                <w:szCs w:val="24"/>
                <w:lang w:val="en-US" w:eastAsia="zh-CN" w:bidi="ar-SA"/>
              </w:rPr>
            </w:pPr>
            <w:r>
              <w:rPr>
                <w:rFonts w:hint="eastAsia" w:ascii="宋体" w:hAnsi="宋体" w:eastAsia="宋体" w:cs="宋体"/>
                <w:color w:val="333333"/>
                <w:sz w:val="18"/>
                <w:szCs w:val="18"/>
              </w:rPr>
              <w:t>10.00</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sz w:val="24"/>
                <w:szCs w:val="24"/>
                <w:lang w:val="en-US" w:eastAsia="zh-CN" w:bidi="ar-SA"/>
              </w:rPr>
            </w:pPr>
            <w:r>
              <w:rPr>
                <w:rFonts w:hint="eastAsia" w:ascii="宋体" w:hAnsi="宋体" w:eastAsia="宋体" w:cs="宋体"/>
                <w:color w:val="333333"/>
                <w:sz w:val="18"/>
                <w:szCs w:val="18"/>
              </w:rPr>
              <w:t>10.00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8345" w:type="dxa"/>
            <w:gridSpan w:val="1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绩效目标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2957"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年初绩效目标</w:t>
            </w:r>
          </w:p>
        </w:tc>
        <w:tc>
          <w:tcPr>
            <w:tcW w:w="297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全年（调整）绩效目标</w:t>
            </w:r>
          </w:p>
        </w:tc>
        <w:tc>
          <w:tcPr>
            <w:tcW w:w="2418" w:type="dxa"/>
            <w:gridSpan w:val="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全年目标实际完成情况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05" w:hRule="atLeast"/>
        </w:trPr>
        <w:tc>
          <w:tcPr>
            <w:tcW w:w="295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color w:val="333333"/>
                <w:sz w:val="18"/>
                <w:szCs w:val="18"/>
              </w:rPr>
            </w:pPr>
            <w:r>
              <w:rPr>
                <w:rFonts w:hint="eastAsia" w:ascii="宋体" w:hAnsi="宋体" w:eastAsia="宋体" w:cs="宋体"/>
                <w:color w:val="333333"/>
                <w:sz w:val="18"/>
                <w:szCs w:val="18"/>
              </w:rPr>
              <w:t>对中梁乡2023年辖区内20座烤房管护、占地进行补助。</w:t>
            </w:r>
          </w:p>
        </w:tc>
        <w:tc>
          <w:tcPr>
            <w:tcW w:w="297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color w:val="333333"/>
                <w:sz w:val="18"/>
                <w:szCs w:val="18"/>
              </w:rPr>
            </w:pPr>
            <w:r>
              <w:rPr>
                <w:rFonts w:hint="eastAsia" w:ascii="宋体" w:hAnsi="宋体" w:eastAsia="宋体" w:cs="宋体"/>
                <w:color w:val="333333"/>
                <w:sz w:val="18"/>
                <w:szCs w:val="18"/>
              </w:rPr>
              <w:t>对中梁乡2023年辖区内20座烤房管护、占地进行补助。</w:t>
            </w:r>
          </w:p>
        </w:tc>
        <w:tc>
          <w:tcPr>
            <w:tcW w:w="2418"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sz w:val="24"/>
                <w:szCs w:val="24"/>
              </w:rPr>
            </w:pPr>
            <w:r>
              <w:rPr>
                <w:rFonts w:hint="eastAsia" w:ascii="宋体" w:hAnsi="宋体" w:eastAsia="宋体" w:cs="宋体"/>
                <w:color w:val="333333"/>
                <w:sz w:val="18"/>
                <w:szCs w:val="18"/>
              </w:rPr>
              <w:t>对中梁乡2023年辖区内20座烤房管护、占地进行补助。</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0" w:hRule="atLeast"/>
        </w:trPr>
        <w:tc>
          <w:tcPr>
            <w:tcW w:w="8345" w:type="dxa"/>
            <w:gridSpan w:val="1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绩效指标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指标名称</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计量单位</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指标性质</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指标值</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全年完成值</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偏离度（%）</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得分系数（%）</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指标权重</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指标得分</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是否核心指标</w:t>
            </w: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说明</w:t>
            </w: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市财政局建议</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补助烤房数量</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套</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2</w:t>
            </w:r>
            <w:r>
              <w:rPr>
                <w:rFonts w:hint="eastAsia" w:ascii="宋体" w:hAnsi="宋体" w:eastAsia="宋体" w:cs="宋体"/>
                <w:color w:val="333333"/>
                <w:sz w:val="18"/>
                <w:szCs w:val="18"/>
              </w:rPr>
              <w:t>0</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2</w:t>
            </w: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firstLine="18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补助支付及时率</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98</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98</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firstLine="180"/>
              <w:jc w:val="both"/>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firstLine="180" w:firstLineChars="0"/>
              <w:jc w:val="both"/>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补助金额</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元</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40</w:t>
            </w:r>
            <w:r>
              <w:rPr>
                <w:rFonts w:hint="eastAsia" w:ascii="宋体" w:hAnsi="宋体" w:eastAsia="宋体" w:cs="宋体"/>
                <w:color w:val="333333"/>
                <w:sz w:val="18"/>
                <w:szCs w:val="18"/>
              </w:rPr>
              <w:t>00</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40</w:t>
            </w:r>
            <w:r>
              <w:rPr>
                <w:rFonts w:hint="eastAsia" w:ascii="宋体" w:hAnsi="宋体" w:eastAsia="宋体" w:cs="宋体"/>
                <w:color w:val="333333"/>
                <w:sz w:val="18"/>
                <w:szCs w:val="18"/>
              </w:rPr>
              <w:t>00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firstLine="180"/>
              <w:jc w:val="both"/>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firstLine="180" w:firstLineChars="0"/>
              <w:jc w:val="both"/>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群众收入得到增长</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定性</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收入得到增长</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333333"/>
                <w:sz w:val="18"/>
                <w:szCs w:val="18"/>
                <w:lang w:val="en-US" w:eastAsia="zh-CN"/>
              </w:rPr>
            </w:pPr>
            <w:r>
              <w:rPr>
                <w:rFonts w:hint="eastAsia" w:cs="宋体"/>
                <w:color w:val="333333"/>
                <w:sz w:val="18"/>
                <w:szCs w:val="18"/>
                <w:lang w:val="en-US" w:eastAsia="zh-CN"/>
              </w:rPr>
              <w:t>全部完成</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群众满意度</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9</w:t>
            </w:r>
            <w:r>
              <w:rPr>
                <w:rFonts w:hint="eastAsia" w:ascii="宋体" w:hAnsi="宋体" w:eastAsia="宋体" w:cs="宋体"/>
                <w:color w:val="333333"/>
                <w:sz w:val="18"/>
                <w:szCs w:val="18"/>
                <w:lang w:val="en-US" w:eastAsia="zh-CN"/>
              </w:rPr>
              <w:t>8</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9</w:t>
            </w:r>
            <w:r>
              <w:rPr>
                <w:rFonts w:hint="eastAsia" w:ascii="宋体" w:hAnsi="宋体" w:eastAsia="宋体" w:cs="宋体"/>
                <w:color w:val="333333"/>
                <w:sz w:val="18"/>
                <w:szCs w:val="18"/>
                <w:lang w:val="en-US" w:eastAsia="zh-CN"/>
              </w:rPr>
              <w:t>8</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firstLine="18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firstLine="180"/>
              <w:jc w:val="both"/>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pStyle w:val="6"/>
              <w:keepNext w:val="0"/>
              <w:keepLines w:val="0"/>
              <w:widowControl/>
              <w:suppressLineNumbers w:val="0"/>
              <w:spacing w:before="0" w:beforeAutospacing="0" w:after="0" w:afterAutospacing="0"/>
              <w:ind w:left="0" w:right="0" w:firstLine="180"/>
              <w:jc w:val="both"/>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bl>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2"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我单位组织开展了绩效评价。</w:t>
      </w:r>
    </w:p>
    <w:p>
      <w:pPr>
        <w:pStyle w:val="13"/>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2"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县财政局未委托第三方对我单位开展绩效评价。</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kern w:val="0"/>
          <w:sz w:val="32"/>
          <w:szCs w:val="32"/>
        </w:rPr>
      </w:pPr>
      <w:r>
        <w:rPr>
          <w:rStyle w:val="12"/>
          <w:rFonts w:hint="eastAsia" w:ascii="方正仿宋_GBK" w:hAnsi="方正仿宋_GBK" w:eastAsia="方正仿宋_GBK" w:cs="方正仿宋_GBK"/>
          <w:b/>
          <w:bCs/>
          <w:sz w:val="32"/>
          <w:szCs w:val="32"/>
          <w:shd w:val="clear" w:fill="FFFFFF"/>
        </w:rPr>
        <w:t xml:space="preserve"> </w:t>
      </w:r>
      <w:r>
        <w:rPr>
          <w:rStyle w:val="9"/>
          <w:rFonts w:hint="eastAsia" w:ascii="黑体" w:hAnsi="黑体" w:eastAsia="黑体" w:cs="黑体"/>
          <w:sz w:val="32"/>
          <w:szCs w:val="32"/>
          <w:shd w:val="clear" w:color="auto" w:fill="FFFFFF"/>
          <w:lang w:val="en-US" w:eastAsia="zh-CN" w:bidi="ar-SA"/>
        </w:rPr>
        <w:t>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（一）财政拨款收入：</w:t>
      </w:r>
      <w:r>
        <w:rPr>
          <w:rFonts w:hint="eastAsia" w:ascii="Times New Roman" w:hAnsi="Times New Roman" w:eastAsia="仿宋_GB2312" w:cs="仿宋_GB2312"/>
          <w:color w:val="000000"/>
          <w:kern w:val="0"/>
          <w:sz w:val="32"/>
          <w:szCs w:val="32"/>
          <w:lang w:val="en-US" w:eastAsia="zh-CN" w:bidi="ar"/>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（二）事业收入：</w:t>
      </w:r>
      <w:r>
        <w:rPr>
          <w:rFonts w:hint="eastAsia" w:ascii="Times New Roman" w:hAnsi="Times New Roman" w:eastAsia="仿宋_GB2312" w:cs="仿宋_GB2312"/>
          <w:color w:val="000000"/>
          <w:kern w:val="0"/>
          <w:sz w:val="32"/>
          <w:szCs w:val="32"/>
          <w:lang w:val="en-US" w:eastAsia="zh-CN" w:bidi="ar"/>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（三）经营收入：</w:t>
      </w:r>
      <w:r>
        <w:rPr>
          <w:rFonts w:hint="eastAsia" w:ascii="Times New Roman" w:hAnsi="Times New Roman" w:eastAsia="仿宋_GB2312" w:cs="仿宋_GB2312"/>
          <w:color w:val="000000"/>
          <w:kern w:val="0"/>
          <w:sz w:val="32"/>
          <w:szCs w:val="32"/>
          <w:lang w:val="en-US" w:eastAsia="zh-CN" w:bidi="ar"/>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（四）其他收入：</w:t>
      </w:r>
      <w:r>
        <w:rPr>
          <w:rFonts w:hint="eastAsia" w:ascii="Times New Roman" w:hAnsi="Times New Roman" w:eastAsia="仿宋_GB2312" w:cs="仿宋_GB2312"/>
          <w:color w:val="000000"/>
          <w:kern w:val="0"/>
          <w:sz w:val="32"/>
          <w:szCs w:val="32"/>
          <w:lang w:val="en-US" w:eastAsia="zh-CN" w:bidi="ar"/>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（五）使用非财政拨款结余：</w:t>
      </w:r>
      <w:r>
        <w:rPr>
          <w:rFonts w:hint="eastAsia" w:ascii="Times New Roman" w:hAnsi="Times New Roman" w:eastAsia="仿宋_GB2312" w:cs="仿宋_GB2312"/>
          <w:color w:val="000000"/>
          <w:kern w:val="0"/>
          <w:sz w:val="32"/>
          <w:szCs w:val="32"/>
          <w:lang w:val="en-US" w:eastAsia="zh-CN" w:bidi="ar"/>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（六）年初结转和结余：</w:t>
      </w:r>
      <w:r>
        <w:rPr>
          <w:rFonts w:hint="eastAsia" w:ascii="Times New Roman" w:hAnsi="Times New Roman" w:eastAsia="仿宋_GB2312" w:cs="仿宋_GB2312"/>
          <w:color w:val="000000"/>
          <w:kern w:val="0"/>
          <w:sz w:val="32"/>
          <w:szCs w:val="32"/>
          <w:lang w:val="en-US" w:eastAsia="zh-CN" w:bidi="ar"/>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（七）结余分配：</w:t>
      </w:r>
      <w:r>
        <w:rPr>
          <w:rFonts w:hint="eastAsia" w:ascii="Times New Roman" w:hAnsi="Times New Roman" w:eastAsia="仿宋_GB2312" w:cs="仿宋_GB2312"/>
          <w:color w:val="000000"/>
          <w:kern w:val="0"/>
          <w:sz w:val="32"/>
          <w:szCs w:val="32"/>
          <w:lang w:val="en-US" w:eastAsia="zh-CN" w:bidi="ar"/>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（八）年末结转和结余：</w:t>
      </w:r>
      <w:r>
        <w:rPr>
          <w:rFonts w:hint="eastAsia" w:ascii="Times New Roman" w:hAnsi="Times New Roman" w:eastAsia="仿宋_GB2312" w:cs="仿宋_GB2312"/>
          <w:color w:val="000000"/>
          <w:kern w:val="0"/>
          <w:sz w:val="32"/>
          <w:szCs w:val="32"/>
          <w:lang w:val="en-US" w:eastAsia="zh-CN" w:bidi="ar"/>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（九）基本支出：</w:t>
      </w:r>
      <w:r>
        <w:rPr>
          <w:rFonts w:hint="eastAsia" w:ascii="Times New Roman" w:hAnsi="Times New Roman" w:eastAsia="仿宋_GB2312" w:cs="仿宋_GB2312"/>
          <w:color w:val="000000"/>
          <w:kern w:val="0"/>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（十）项目支出：</w:t>
      </w:r>
      <w:r>
        <w:rPr>
          <w:rFonts w:hint="eastAsia" w:ascii="Times New Roman" w:hAnsi="Times New Roman" w:eastAsia="仿宋_GB2312" w:cs="仿宋_GB2312"/>
          <w:color w:val="000000"/>
          <w:kern w:val="0"/>
          <w:sz w:val="32"/>
          <w:szCs w:val="32"/>
          <w:lang w:val="en-US" w:eastAsia="zh-CN" w:bidi="ar"/>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（十一）经营支出：</w:t>
      </w:r>
      <w:r>
        <w:rPr>
          <w:rFonts w:hint="eastAsia" w:ascii="Times New Roman" w:hAnsi="Times New Roman" w:eastAsia="仿宋_GB2312" w:cs="仿宋_GB2312"/>
          <w:color w:val="000000"/>
          <w:kern w:val="0"/>
          <w:sz w:val="32"/>
          <w:szCs w:val="32"/>
          <w:lang w:val="en-US" w:eastAsia="zh-CN" w:bidi="ar"/>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（十二）“三公”经费：</w:t>
      </w:r>
      <w:r>
        <w:rPr>
          <w:rFonts w:hint="eastAsia" w:ascii="Times New Roman" w:hAnsi="Times New Roman" w:eastAsia="仿宋_GB2312" w:cs="仿宋_GB2312"/>
          <w:color w:val="000000"/>
          <w:kern w:val="0"/>
          <w:sz w:val="32"/>
          <w:szCs w:val="32"/>
          <w:lang w:val="en-US" w:eastAsia="zh-CN" w:bidi="ar"/>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（十三）机关运行经费：</w:t>
      </w:r>
      <w:r>
        <w:rPr>
          <w:rFonts w:hint="eastAsia" w:ascii="Times New Roman" w:hAnsi="Times New Roman" w:eastAsia="仿宋_GB2312" w:cs="仿宋_GB2312"/>
          <w:color w:val="000000"/>
          <w:kern w:val="0"/>
          <w:sz w:val="32"/>
          <w:szCs w:val="32"/>
          <w:lang w:val="en-US" w:eastAsia="zh-CN" w:bidi="ar"/>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（十四）工资福利支出（支出经济分类科目类级）：</w:t>
      </w:r>
      <w:r>
        <w:rPr>
          <w:rFonts w:hint="eastAsia" w:ascii="Times New Roman" w:hAnsi="Times New Roman" w:eastAsia="仿宋_GB2312" w:cs="仿宋_GB2312"/>
          <w:color w:val="000000"/>
          <w:kern w:val="0"/>
          <w:sz w:val="32"/>
          <w:szCs w:val="32"/>
          <w:lang w:val="en-US" w:eastAsia="zh-CN" w:bidi="ar"/>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Times New Roman" w:hAnsi="Times New Roman" w:eastAsia="仿宋_GB2312" w:cs="仿宋_GB2312"/>
          <w:color w:val="000000"/>
          <w:kern w:val="0"/>
          <w:sz w:val="32"/>
          <w:szCs w:val="32"/>
          <w:lang w:val="en-US" w:eastAsia="zh-CN" w:bidi="ar"/>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Times New Roman" w:hAnsi="Times New Roman" w:eastAsia="仿宋_GB2312" w:cs="仿宋_GB2312"/>
          <w:color w:val="000000"/>
          <w:kern w:val="0"/>
          <w:sz w:val="32"/>
          <w:szCs w:val="32"/>
          <w:lang w:val="en-US" w:eastAsia="zh-CN" w:bidi="ar"/>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Times New Roman" w:hAnsi="Times New Roman" w:eastAsia="仿宋_GB2312" w:cs="仿宋_GB2312"/>
          <w:color w:val="000000"/>
          <w:kern w:val="0"/>
          <w:sz w:val="32"/>
          <w:szCs w:val="32"/>
          <w:lang w:val="en-US" w:eastAsia="zh-CN" w:bidi="ar"/>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kern w:val="0"/>
          <w:sz w:val="32"/>
          <w:szCs w:val="32"/>
        </w:rPr>
      </w:pPr>
      <w:r>
        <w:rPr>
          <w:rStyle w:val="9"/>
          <w:rFonts w:hint="eastAsia" w:ascii="黑体" w:hAnsi="黑体" w:eastAsia="黑体" w:cs="黑体"/>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本单位决算公开信息反馈和联系方式：</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xml:space="preserve"> 023-51417520</w:t>
      </w:r>
    </w:p>
    <w:p>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2" w:firstLineChars="200"/>
        <w:jc w:val="both"/>
        <w:textAlignment w:val="auto"/>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7"/>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巫溪县中梁乡人民政府</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1,238.71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2,120.93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2,120.93</w:t>
            </w:r>
          </w:p>
        </w:tc>
      </w:tr>
    </w:tbl>
    <w:p>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巫溪县中梁乡人民政府</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2,120.93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2,120.93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巫溪县中梁乡人民政府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2,120.93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638.04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1,482.89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401.87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1,204.23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888.44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巫溪县中梁乡人民政府</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401.87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401.87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181.76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181.76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1,238.71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1,238.71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2,120.93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巫溪县中梁乡人民政府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2,120.93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638.04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1,482.89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2,120.93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638.04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1,482.89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401.87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181.76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181.76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104.81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50.99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50.99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26.39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1,204.23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1,204.23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防汛</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888.44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888.44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314.79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314.79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506.94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506.94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66.70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66.70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159.55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159.55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其他自然灾害防治支出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0.98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0.98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巫溪县中梁乡人民政府</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438.35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91.11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93.86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78.46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61.11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47.41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35.12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108.59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49.02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58.37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15.11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546.94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91.11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巫溪县中梁乡人民政府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cs="宋体"/>
          <w:sz w:val="21"/>
          <w:szCs w:val="21"/>
          <w:lang w:val="en-US" w:eastAsia="zh-CN"/>
        </w:rPr>
        <w:t>本年无政府性基金预算财政拨款收支，故此表无数据。</w:t>
      </w:r>
      <w:r>
        <w:rPr>
          <w:rFonts w:hint="eastAsia" w:ascii="宋体" w:hAnsi="宋体" w:eastAsia="宋体" w:cs="宋体"/>
          <w:sz w:val="21"/>
          <w:szCs w:val="21"/>
          <w:lang w:val="en-US" w:eastAsia="zh-CN"/>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巫溪县中梁乡人民政府</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cs="宋体"/>
          <w:sz w:val="21"/>
          <w:szCs w:val="21"/>
          <w:lang w:val="en-US" w:eastAsia="zh-CN"/>
        </w:rPr>
        <w:t>本年无国有资本经营预算财政拨款收支，故此表无数据。</w:t>
      </w:r>
      <w:r>
        <w:rPr>
          <w:rFonts w:hint="eastAsia" w:ascii="宋体" w:hAnsi="宋体" w:eastAsia="宋体" w:cs="宋体"/>
          <w:sz w:val="21"/>
          <w:szCs w:val="21"/>
        </w:rPr>
        <w:br w:type="page"/>
      </w:r>
    </w:p>
    <w:tbl>
      <w:tblPr>
        <w:tblStyle w:val="7"/>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巫溪县中梁乡人民政府</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350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10.70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0.50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7.00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C964060"/>
    <w:rsid w:val="2D5F4C37"/>
    <w:rsid w:val="2D8332EB"/>
    <w:rsid w:val="2FE029D7"/>
    <w:rsid w:val="2FF06E00"/>
    <w:rsid w:val="304721A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D163E3"/>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6A6ACC"/>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8B35F8"/>
    <w:rsid w:val="64FB113D"/>
    <w:rsid w:val="6544377C"/>
    <w:rsid w:val="655F5939"/>
    <w:rsid w:val="656152C6"/>
    <w:rsid w:val="6587477F"/>
    <w:rsid w:val="658C3A08"/>
    <w:rsid w:val="65C031CA"/>
    <w:rsid w:val="65CE6852"/>
    <w:rsid w:val="65F004F9"/>
    <w:rsid w:val="66267C04"/>
    <w:rsid w:val="663F505A"/>
    <w:rsid w:val="66565FA9"/>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3E05F4"/>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 w:val="7FF9C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7711</Words>
  <Characters>21008</Characters>
  <Lines>161</Lines>
  <Paragraphs>45</Paragraphs>
  <TotalTime>2</TotalTime>
  <ScaleCrop>false</ScaleCrop>
  <LinksUpToDate>false</LinksUpToDate>
  <CharactersWithSpaces>21460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 </cp:lastModifiedBy>
  <dcterms:modified xsi:type="dcterms:W3CDTF">2026-05-25T20:50:18Z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C5BD5F0625CB4063A2AF428359372995_13</vt:lpwstr>
  </property>
  <property fmtid="{D5CDD505-2E9C-101B-9397-08002B2CF9AE}" pid="4" name="KSOTemplateDocerSaveRecord">
    <vt:lpwstr>eyJoZGlkIjoiMDU3MWJmYTkyOWUwYmVjYzNjYzA0MjQzM2QyZGU1MzMifQ==</vt:lpwstr>
  </property>
</Properties>
</file>