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color w:val="000000" w:themeColor="text1"/>
          <w:sz w:val="44"/>
          <w:szCs w:val="44"/>
          <w14:textFill>
            <w14:solidFill>
              <w14:schemeClr w14:val="tx1"/>
            </w14:solidFill>
          </w14:textFill>
        </w:rPr>
      </w:pPr>
      <w:r>
        <w:rPr>
          <w:rFonts w:ascii="方正小标宋" w:hAnsi="方正小标宋" w:eastAsia="方正小标宋" w:cs="方正小标宋"/>
          <w:i w:val="0"/>
          <w:iCs w:val="0"/>
          <w:caps w:val="0"/>
          <w:color w:val="000000" w:themeColor="text1"/>
          <w:spacing w:val="0"/>
          <w:sz w:val="43"/>
          <w:szCs w:val="43"/>
          <w:shd w:val="clear" w:color="auto" w:fill="FFFFFF"/>
          <w14:textFill>
            <w14:solidFill>
              <w14:schemeClr w14:val="tx1"/>
            </w14:solidFill>
          </w14:textFill>
        </w:rPr>
        <w:t>巫溪县中梁乡产业发展服务中心</w:t>
      </w:r>
      <w:r>
        <w:rPr>
          <w:rFonts w:hint="eastAsia" w:ascii="华文中宋" w:hAnsi="华文中宋" w:eastAsia="华文中宋" w:cs="华文中宋"/>
          <w:color w:val="000000" w:themeColor="text1"/>
          <w:sz w:val="44"/>
          <w:szCs w:val="44"/>
          <w14:textFill>
            <w14:solidFill>
              <w14:schemeClr w14:val="tx1"/>
            </w14:solidFill>
          </w14:textFill>
        </w:rPr>
        <w:t>20</w:t>
      </w:r>
      <w:r>
        <w:rPr>
          <w:rFonts w:ascii="华文中宋" w:hAnsi="华文中宋" w:eastAsia="华文中宋" w:cs="华文中宋"/>
          <w:color w:val="000000" w:themeColor="text1"/>
          <w:sz w:val="44"/>
          <w:szCs w:val="44"/>
          <w14:textFill>
            <w14:solidFill>
              <w14:schemeClr w14:val="tx1"/>
            </w14:solidFill>
          </w14:textFill>
        </w:rPr>
        <w:t>2</w:t>
      </w:r>
      <w:r>
        <w:rPr>
          <w:rFonts w:hint="eastAsia" w:ascii="华文中宋" w:hAnsi="华文中宋" w:eastAsia="华文中宋" w:cs="华文中宋"/>
          <w:color w:val="000000" w:themeColor="text1"/>
          <w:sz w:val="44"/>
          <w:szCs w:val="44"/>
          <w:lang w:val="en-US" w:eastAsia="zh-CN"/>
          <w14:textFill>
            <w14:solidFill>
              <w14:schemeClr w14:val="tx1"/>
            </w14:solidFill>
          </w14:textFill>
        </w:rPr>
        <w:t>6</w:t>
      </w:r>
      <w:r>
        <w:rPr>
          <w:rFonts w:hint="eastAsia" w:ascii="华文中宋" w:hAnsi="华文中宋" w:eastAsia="华文中宋" w:cs="华文中宋"/>
          <w:color w:val="000000" w:themeColor="text1"/>
          <w:sz w:val="44"/>
          <w:szCs w:val="44"/>
          <w14:textFill>
            <w14:solidFill>
              <w14:schemeClr w14:val="tx1"/>
            </w14:solidFill>
          </w14:textFill>
        </w:rPr>
        <w:t>年部门预算情况说明</w:t>
      </w:r>
    </w:p>
    <w:p>
      <w:pPr>
        <w:spacing w:line="600" w:lineRule="exact"/>
        <w:ind w:firstLine="880" w:firstLineChars="200"/>
        <w:jc w:val="center"/>
        <w:rPr>
          <w:rFonts w:hint="eastAsia" w:ascii="华文中宋" w:hAnsi="华文中宋" w:eastAsia="华文中宋" w:cs="华文中宋"/>
          <w:color w:val="000000" w:themeColor="text1"/>
          <w:sz w:val="44"/>
          <w:szCs w:val="44"/>
          <w14:textFill>
            <w14:solidFill>
              <w14:schemeClr w14:val="tx1"/>
            </w14:solidFill>
          </w14:textFill>
        </w:rPr>
      </w:pPr>
    </w:p>
    <w:p>
      <w:pPr>
        <w:numPr>
          <w:ilvl w:val="0"/>
          <w:numId w:val="1"/>
        </w:num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单位基本情况</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中梁乡产业发展服务中心是巫溪县人民政府的下设机构。部门现行的职能职责主要包括：认真贯彻执行党和国家的各项方针、政策；负责辖区内的农业、畜牧、水产、林业、水利等技术推广和服务工作；承办县委、县政府交办的其他事项。</w:t>
      </w:r>
    </w:p>
    <w:p>
      <w:pPr>
        <w:pStyle w:val="5"/>
        <w:tabs>
          <w:tab w:val="center" w:pos="4153"/>
          <w:tab w:val="left" w:pos="7275"/>
        </w:tabs>
        <w:spacing w:line="600" w:lineRule="exact"/>
        <w:ind w:left="640" w:firstLine="0" w:firstLine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default" w:ascii="Times New Roman" w:hAnsi="Times New Roman" w:cs="Times New Roman"/>
          <w:i w:val="0"/>
          <w:iCs w:val="0"/>
          <w:caps w:val="0"/>
          <w:color w:val="000000" w:themeColor="text1"/>
          <w:spacing w:val="0"/>
          <w:sz w:val="21"/>
          <w:szCs w:val="21"/>
          <w:highlight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val="en-US" w:eastAsia="zh-CN"/>
          <w14:textFill>
            <w14:solidFill>
              <w14:schemeClr w14:val="tx1"/>
            </w14:solidFill>
          </w14:textFill>
        </w:rPr>
        <w:t>由五个事业单位组成</w:t>
      </w:r>
      <w:bookmarkStart w:id="0" w:name="_GoBack"/>
      <w:bookmarkEnd w:id="0"/>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val="en-US" w:eastAsia="zh-CN"/>
          <w14:textFill>
            <w14:solidFill>
              <w14:schemeClr w14:val="tx1"/>
            </w14:solidFill>
          </w14:textFill>
        </w:rPr>
        <w:t>，分别是</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巫溪县中梁乡村居事务服务中心</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巫溪县中梁乡新时代文明实践服务中心</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巫溪县中梁乡综合行政执法大队</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巫溪县中梁乡便民服务中心</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巫溪县中梁乡产业发展服务中心。总编制人数</w:t>
      </w:r>
      <w:r>
        <w:rPr>
          <w:rFonts w:hint="default" w:ascii="Times New Roman" w:hAnsi="Times New Roman" w:eastAsia="微软雅黑" w:cs="Times New Roman"/>
          <w:i w:val="0"/>
          <w:iCs w:val="0"/>
          <w:caps w:val="0"/>
          <w:color w:val="000000" w:themeColor="text1"/>
          <w:spacing w:val="0"/>
          <w:sz w:val="31"/>
          <w:szCs w:val="31"/>
          <w:highlight w:val="none"/>
          <w:shd w:val="clear" w:color="auto" w:fill="FFFFFF"/>
          <w14:textFill>
            <w14:solidFill>
              <w14:schemeClr w14:val="tx1"/>
            </w14:solidFill>
          </w14:textFill>
        </w:rPr>
        <w:t>11</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人，实有人数</w:t>
      </w:r>
      <w:r>
        <w:rPr>
          <w:rFonts w:hint="default" w:ascii="Times New Roman" w:hAnsi="Times New Roman" w:eastAsia="微软雅黑" w:cs="Times New Roman"/>
          <w:i w:val="0"/>
          <w:iCs w:val="0"/>
          <w:caps w:val="0"/>
          <w:color w:val="000000" w:themeColor="text1"/>
          <w:spacing w:val="0"/>
          <w:sz w:val="31"/>
          <w:szCs w:val="31"/>
          <w:highlight w:val="none"/>
          <w:shd w:val="clear" w:color="auto" w:fill="FFFFFF"/>
          <w14:textFill>
            <w14:solidFill>
              <w14:schemeClr w14:val="tx1"/>
            </w14:solidFill>
          </w14:textFill>
        </w:rPr>
        <w:t>10</w:t>
      </w:r>
      <w:r>
        <w:rPr>
          <w:rFonts w:hint="eastAsia" w:ascii="方正仿宋_GBK" w:hAnsi="方正仿宋_GBK" w:eastAsia="方正仿宋_GBK" w:cs="方正仿宋_GBK"/>
          <w:i w:val="0"/>
          <w:iCs w:val="0"/>
          <w:caps w:val="0"/>
          <w:color w:val="000000" w:themeColor="text1"/>
          <w:spacing w:val="0"/>
          <w:sz w:val="31"/>
          <w:szCs w:val="31"/>
          <w:highlight w:val="none"/>
          <w:shd w:val="clear" w:color="auto" w:fill="FFFFFF"/>
          <w14:textFill>
            <w14:solidFill>
              <w14:schemeClr w14:val="tx1"/>
            </w14:solidFill>
          </w14:textFill>
        </w:rPr>
        <w:t>人。</w:t>
      </w:r>
    </w:p>
    <w:p>
      <w:pPr>
        <w:numPr>
          <w:ilvl w:val="0"/>
          <w:numId w:val="1"/>
        </w:num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部门收支总体情况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（表六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至表八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（一）收入预算：202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年年初预算数195.64万元，其中：一般公共预算拨款195.64万元，政府性基金预算拨款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万元，国有资本经营预算收入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万元，事业收入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万元，事业单位经营收入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万元，其他收入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14:textFill>
            <w14:solidFill>
              <w14:schemeClr w14:val="tx1"/>
            </w14:solidFill>
          </w14:textFill>
        </w:rPr>
        <w:t>收入较去年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w:t>
      </w:r>
      <w:r>
        <w:rPr>
          <w:rFonts w:hint="eastAsia" w:ascii="Times New Roman" w:hAnsi="Times New Roman" w:eastAsia="方正仿宋_GBK" w:cs="Times New Roman"/>
          <w:color w:val="000000" w:themeColor="text1"/>
          <w:sz w:val="32"/>
          <w:szCs w:val="32"/>
          <w14:textFill>
            <w14:solidFill>
              <w14:schemeClr w14:val="tx1"/>
            </w14:solidFill>
          </w14:textFill>
        </w:rPr>
        <w:t>18.41万元</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一</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般公共服务收入经费拨款</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增加</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11.83万元，社会保障和就业经费拨款</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增加</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3.88</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万元，卫生健康经费拨款</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增加</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1.23</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万元，住房保障经费拨款</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增加</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1.47</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（二）支出预算：202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年年初预算数195.64万元，其中：一般公共服务支出147.61万元，教育支出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万元，社会保障和就业支出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32.17</w:t>
      </w:r>
      <w:r>
        <w:rPr>
          <w:rFonts w:hint="default" w:ascii="Times New Roman" w:hAnsi="Times New Roman" w:eastAsia="方正仿宋_GBK" w:cs="Times New Roman"/>
          <w:color w:val="000000" w:themeColor="text1"/>
          <w:sz w:val="32"/>
          <w:szCs w:val="32"/>
          <w14:textFill>
            <w14:solidFill>
              <w14:schemeClr w14:val="tx1"/>
            </w14:solidFill>
          </w14:textFill>
        </w:rPr>
        <w:t>万元，卫生健康支出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7.21</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节能环保</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农林水</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万元，住房保障支出8.65万元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灾害防治及应急管理支出</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0万元</w:t>
      </w:r>
      <w:r>
        <w:rPr>
          <w:rFonts w:hint="default"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。支出较去年</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增加</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18.41万元</w:t>
      </w:r>
      <w:r>
        <w:rPr>
          <w:rFonts w:hint="default"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，主要是基本支出增加</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18.41</w:t>
      </w:r>
      <w:r>
        <w:rPr>
          <w:rFonts w:hint="default"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，项目支出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增加0</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spacing w:line="60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我县预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算管理要求，结转金额已纳入相应性质的资金收入中进行反映，上述收入包括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2025年结转并编制到2026年预算的资金。</w:t>
      </w:r>
    </w:p>
    <w:p>
      <w:pPr>
        <w:numPr>
          <w:ilvl w:val="0"/>
          <w:numId w:val="1"/>
        </w:num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部门预算情况说明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（表一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至表三、表五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年一般公共预算财政拨款收入195.64万元，一般公共预算财政拨款支出195.64万元，比202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w:t>
      </w:r>
      <w:r>
        <w:rPr>
          <w:rFonts w:hint="eastAsia" w:ascii="Times New Roman" w:hAnsi="Times New Roman" w:eastAsia="方正仿宋_GBK" w:cs="Times New Roman"/>
          <w:color w:val="000000" w:themeColor="text1"/>
          <w:sz w:val="32"/>
          <w:szCs w:val="32"/>
          <w14:textFill>
            <w14:solidFill>
              <w14:schemeClr w14:val="tx1"/>
            </w14:solidFill>
          </w14:textFill>
        </w:rPr>
        <w:t>18.41</w:t>
      </w:r>
      <w:r>
        <w:rPr>
          <w:rFonts w:hint="default" w:ascii="Times New Roman" w:hAnsi="Times New Roman" w:eastAsia="方正仿宋_GBK" w:cs="Times New Roman"/>
          <w:color w:val="000000" w:themeColor="text1"/>
          <w:sz w:val="32"/>
          <w:szCs w:val="32"/>
          <w14:textFill>
            <w14:solidFill>
              <w14:schemeClr w14:val="tx1"/>
            </w14:solidFill>
          </w14:textFill>
        </w:rPr>
        <w:t>万元。其中：基本支出195.64万元，比202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年增加</w:t>
      </w:r>
      <w:r>
        <w:rPr>
          <w:rFonts w:hint="eastAsia" w:ascii="Times New Roman" w:hAnsi="Times New Roman" w:eastAsia="方正仿宋_GBK" w:cs="Times New Roman"/>
          <w:color w:val="000000" w:themeColor="text1"/>
          <w:sz w:val="32"/>
          <w:szCs w:val="32"/>
          <w14:textFill>
            <w14:solidFill>
              <w14:schemeClr w14:val="tx1"/>
            </w14:solidFill>
          </w14:textFill>
        </w:rPr>
        <w:t>18.41</w:t>
      </w:r>
      <w:r>
        <w:rPr>
          <w:rFonts w:hint="default" w:ascii="Times New Roman" w:hAnsi="Times New Roman" w:eastAsia="方正仿宋_GBK" w:cs="Times New Roman"/>
          <w:color w:val="000000" w:themeColor="text1"/>
          <w:sz w:val="32"/>
          <w:szCs w:val="32"/>
          <w14:textFill>
            <w14:solidFill>
              <w14:schemeClr w14:val="tx1"/>
            </w14:solidFill>
          </w14:textFill>
        </w:rPr>
        <w:t>万元，主要原因是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人员普涨薪资</w:t>
      </w:r>
      <w:r>
        <w:rPr>
          <w:rFonts w:hint="default" w:ascii="Times New Roman" w:hAnsi="Times New Roman" w:eastAsia="方正仿宋_GBK" w:cs="Times New Roman"/>
          <w:color w:val="000000" w:themeColor="text1"/>
          <w:sz w:val="32"/>
          <w:szCs w:val="32"/>
          <w14:textFill>
            <w14:solidFill>
              <w14:schemeClr w14:val="tx1"/>
            </w14:solidFill>
          </w14:textFill>
        </w:rPr>
        <w:t>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增加了人员经费</w:t>
      </w:r>
      <w:r>
        <w:rPr>
          <w:rFonts w:hint="default" w:ascii="Times New Roman" w:hAnsi="Times New Roman" w:eastAsia="方正仿宋_GBK" w:cs="Times New Roman"/>
          <w:color w:val="000000" w:themeColor="text1"/>
          <w:sz w:val="32"/>
          <w:szCs w:val="32"/>
          <w14:textFill>
            <w14:solidFill>
              <w14:schemeClr w14:val="tx1"/>
            </w14:solidFill>
          </w14:textFill>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增加0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主要原因是产业发展服务中心无项目。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方正仿宋_GBK" w:hAnsi="方正仿宋_GBK" w:eastAsia="方正仿宋_GBK" w:cs="方正仿宋_GBK"/>
          <w:i w:val="0"/>
          <w:iCs w:val="0"/>
          <w:caps w:val="0"/>
          <w:color w:val="000000" w:themeColor="text1"/>
          <w:spacing w:val="0"/>
          <w:sz w:val="31"/>
          <w:szCs w:val="31"/>
          <w:shd w:val="clear" w:color="auto" w:fill="FFFFFF"/>
          <w:lang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巫溪县中梁乡</w:t>
      </w:r>
      <w:r>
        <w:rPr>
          <w:rFonts w:hint="eastAsia"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产业发展服务</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中心</w:t>
      </w:r>
      <w:r>
        <w:rPr>
          <w:rFonts w:hint="default"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202</w:t>
      </w:r>
      <w:r>
        <w:rPr>
          <w:rFonts w:hint="default" w:ascii="方正仿宋_GBK" w:hAnsi="方正仿宋_GBK" w:eastAsia="方正仿宋_GBK" w:cs="方正仿宋_GBK"/>
          <w:i w:val="0"/>
          <w:iCs w:val="0"/>
          <w:caps w:val="0"/>
          <w:color w:val="000000" w:themeColor="text1"/>
          <w:spacing w:val="0"/>
          <w:sz w:val="31"/>
          <w:szCs w:val="31"/>
          <w:shd w:val="clear" w:color="auto" w:fill="FFFFFF"/>
          <w:lang w:val="en-US" w:eastAsia="zh-CN"/>
          <w14:textFill>
            <w14:solidFill>
              <w14:schemeClr w14:val="tx1"/>
            </w14:solidFill>
          </w14:textFill>
        </w:rPr>
        <w:t>6</w:t>
      </w:r>
      <w:r>
        <w:rPr>
          <w:rFonts w:hint="default"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年无使用政府性基金预算拨款安排的支出</w:t>
      </w:r>
      <w:r>
        <w:rPr>
          <w:rFonts w:hint="eastAsia" w:ascii="方正仿宋_GBK" w:hAnsi="方正仿宋_GBK" w:eastAsia="方正仿宋_GBK" w:cs="方正仿宋_GBK"/>
          <w:i w:val="0"/>
          <w:iCs w:val="0"/>
          <w:caps w:val="0"/>
          <w:color w:val="000000" w:themeColor="text1"/>
          <w:spacing w:val="0"/>
          <w:sz w:val="31"/>
          <w:szCs w:val="31"/>
          <w:shd w:val="clear" w:color="auto" w:fill="FFFFFF"/>
          <w:lang w:eastAsia="zh-CN"/>
          <w14:textFill>
            <w14:solidFill>
              <w14:schemeClr w14:val="tx1"/>
            </w14:solidFill>
          </w14:textFill>
        </w:rPr>
        <w:t>。</w:t>
      </w:r>
    </w:p>
    <w:p>
      <w:pPr>
        <w:numPr>
          <w:ilvl w:val="0"/>
          <w:numId w:val="1"/>
        </w:num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“三公”经费情况说明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（表四）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年“三公”经费预算</w:t>
      </w:r>
      <w:r>
        <w:rPr>
          <w:rFonts w:hint="default" w:ascii="Times New Roman" w:hAnsi="Times New Roman" w:cs="Times New Roman"/>
          <w:i w:val="0"/>
          <w:iCs w:val="0"/>
          <w:caps w:val="0"/>
          <w:color w:val="000000" w:themeColor="text1"/>
          <w:spacing w:val="0"/>
          <w:sz w:val="31"/>
          <w:szCs w:val="31"/>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万元，比202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年减少</w:t>
      </w:r>
      <w:r>
        <w:rPr>
          <w:rFonts w:hint="default" w:ascii="Times New Roman" w:hAnsi="Times New Roman" w:cs="Times New Roman"/>
          <w:i w:val="0"/>
          <w:iCs w:val="0"/>
          <w:caps w:val="0"/>
          <w:color w:val="000000" w:themeColor="text1"/>
          <w:spacing w:val="0"/>
          <w:sz w:val="31"/>
          <w:szCs w:val="31"/>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万元。其中：因公出国（境）费用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0</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万元，主要原因是</w:t>
      </w:r>
      <w:r>
        <w:rPr>
          <w:rFonts w:hint="default" w:ascii="Times New Roman" w:hAnsi="Times New Roman" w:eastAsia="方正仿宋_GBK" w:cs="Times New Roman"/>
          <w:color w:val="000000" w:themeColor="text1"/>
          <w:sz w:val="32"/>
          <w:szCs w:val="32"/>
          <w14:textFill>
            <w14:solidFill>
              <w14:schemeClr w14:val="tx1"/>
            </w14:solidFill>
          </w14:textFill>
        </w:rPr>
        <w:t>我单位暂无因公出国（境）；公务接待费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年减少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主要原因是我单位暂无接待活动</w:t>
      </w:r>
      <w:r>
        <w:rPr>
          <w:rFonts w:hint="default" w:ascii="Times New Roman" w:hAnsi="Times New Roman" w:eastAsia="方正仿宋_GBK" w:cs="Times New Roman"/>
          <w:color w:val="000000" w:themeColor="text1"/>
          <w:sz w:val="32"/>
          <w:szCs w:val="32"/>
          <w14:textFill>
            <w14:solidFill>
              <w14:schemeClr w14:val="tx1"/>
            </w14:solidFill>
          </w14:textFill>
        </w:rPr>
        <w:t>；公务用车运行维护费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万元，比202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0</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万元，主要原因是我单位暂无公务用车</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公务用车购置费</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0</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万元，比</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20</w:t>
      </w:r>
      <w:r>
        <w:rPr>
          <w:rFonts w:hint="default" w:ascii="Times New Roman" w:hAnsi="Times New Roman" w:cs="Times New Roman"/>
          <w:i w:val="0"/>
          <w:iCs w:val="0"/>
          <w:caps w:val="0"/>
          <w:color w:val="000000" w:themeColor="text1"/>
          <w:spacing w:val="0"/>
          <w:sz w:val="31"/>
          <w:szCs w:val="31"/>
          <w:shd w:val="clear" w:color="auto" w:fill="FFFFFF"/>
          <w14:textFill>
            <w14:solidFill>
              <w14:schemeClr w14:val="tx1"/>
            </w14:solidFill>
          </w14:textFill>
        </w:rPr>
        <w:t>2</w:t>
      </w:r>
      <w:r>
        <w:rPr>
          <w:rFonts w:hint="eastAsia" w:ascii="Times New Roman" w:hAnsi="Times New Roman" w:cs="Times New Roman"/>
          <w:i w:val="0"/>
          <w:iCs w:val="0"/>
          <w:caps w:val="0"/>
          <w:color w:val="000000" w:themeColor="text1"/>
          <w:spacing w:val="0"/>
          <w:sz w:val="31"/>
          <w:szCs w:val="31"/>
          <w:shd w:val="clear" w:color="auto" w:fill="FFFFFF"/>
          <w:lang w:val="en-US" w:eastAsia="zh-CN"/>
          <w14:textFill>
            <w14:solidFill>
              <w14:schemeClr w14:val="tx1"/>
            </w14:solidFill>
          </w14:textFill>
        </w:rPr>
        <w:t>5</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年增加</w:t>
      </w:r>
      <w:r>
        <w:rPr>
          <w:rFonts w:hint="default" w:ascii="Times New Roman" w:hAnsi="Times New Roman" w:eastAsia="方正仿宋_GBK" w:cs="Times New Roman"/>
          <w:i w:val="0"/>
          <w:iCs w:val="0"/>
          <w:caps w:val="0"/>
          <w:color w:val="000000" w:themeColor="text1"/>
          <w:spacing w:val="0"/>
          <w:sz w:val="31"/>
          <w:szCs w:val="31"/>
          <w:shd w:val="clear" w:color="auto" w:fill="FFFFFF"/>
          <w14:textFill>
            <w14:solidFill>
              <w14:schemeClr w14:val="tx1"/>
            </w14:solidFill>
          </w14:textFill>
        </w:rPr>
        <w:t>0</w:t>
      </w: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万元；主要原因是无购置公务用车计划</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numPr>
          <w:ilvl w:val="0"/>
          <w:numId w:val="1"/>
        </w:num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其他重要事项的情况说明</w:t>
      </w:r>
    </w:p>
    <w:p>
      <w:pPr>
        <w:ind w:firstLine="620" w:firstLineChars="200"/>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t>1、我单位不在机关运行经费统计范围之内。</w:t>
      </w:r>
    </w:p>
    <w:p>
      <w:pPr>
        <w:ind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2、政府采购情况。所属各预算单位政府采购预算总额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万元：政府采购货物预算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万元、政府采购工程预算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万元、政府采购服务预算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万元；其中一般公共预算拨款政府采购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万元：政府采购货物预算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万元、政府采购工程预算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万元、政府采购服务预算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（表九）</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3、绩效目标设置情况。202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年项目支出均实行了绩效目标管理，涉及一般公共预算当年财政拨款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4、国有资产占用使用情况。截止202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年12月，所属各预算单位共有车辆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辆，其中一般公务用车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辆、执勤执法用车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年一般公共预算安排购置车辆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辆，其中一般公务用车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辆、执勤执法用车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1"/>
          <w:szCs w:val="31"/>
          <w:shd w:val="clear" w:color="auto" w:fill="FFFFFF"/>
          <w14:textFill>
            <w14:solidFill>
              <w14:schemeClr w14:val="tx1"/>
            </w14:solidFill>
          </w14:textFill>
        </w:rPr>
        <w:t>六、部门预算整体绩效目标编制情况及县级重点专项资金绩效目标编制情况。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3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本单位2025年部门预算整体绩效目标由巫溪县中梁乡人民政府统一填报公开。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本单位</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6年无县级重点专项资金。</w:t>
      </w:r>
    </w:p>
    <w:p>
      <w:pPr>
        <w:pStyle w:val="5"/>
        <w:tabs>
          <w:tab w:val="center" w:pos="4153"/>
          <w:tab w:val="left" w:pos="7275"/>
        </w:tabs>
        <w:spacing w:line="600" w:lineRule="exact"/>
        <w:ind w:firstLine="64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七、专业性名词解释</w:t>
      </w:r>
    </w:p>
    <w:p>
      <w:pPr>
        <w:pStyle w:val="5"/>
        <w:tabs>
          <w:tab w:val="center" w:pos="4153"/>
          <w:tab w:val="left" w:pos="7275"/>
        </w:tabs>
        <w:spacing w:line="600" w:lineRule="exact"/>
        <w:ind w:firstLine="64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（一）财政拨款收入：指本年度从本级财政部门取得的财政拨款，包括一般公共预算财政拨款和政府性基金预算财政拨款。</w:t>
      </w:r>
    </w:p>
    <w:p>
      <w:pPr>
        <w:pStyle w:val="5"/>
        <w:tabs>
          <w:tab w:val="center" w:pos="4153"/>
          <w:tab w:val="left" w:pos="7275"/>
        </w:tabs>
        <w:spacing w:line="600" w:lineRule="exact"/>
        <w:ind w:firstLine="64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（二）其他收入：指单位取得的除“财政拨款收入”、“事业收入”、“经营收入”等以外的收入。</w:t>
      </w:r>
    </w:p>
    <w:p>
      <w:pPr>
        <w:pStyle w:val="5"/>
        <w:tabs>
          <w:tab w:val="center" w:pos="4153"/>
          <w:tab w:val="left" w:pos="7275"/>
        </w:tabs>
        <w:spacing w:line="600" w:lineRule="exact"/>
        <w:ind w:firstLine="64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（三）基本支出：指为保障机构正常运转、完成日常工作任务而发生的人员经费和公用经费。</w:t>
      </w:r>
    </w:p>
    <w:p>
      <w:pPr>
        <w:pStyle w:val="5"/>
        <w:tabs>
          <w:tab w:val="center" w:pos="4153"/>
          <w:tab w:val="left" w:pos="7275"/>
        </w:tabs>
        <w:spacing w:line="600" w:lineRule="exact"/>
        <w:ind w:firstLine="64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（四）项目支出：指在基本支出之外为完成特定行政任务和事业发展目标所发生的支出。</w:t>
      </w:r>
    </w:p>
    <w:p>
      <w:pPr>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default" w:ascii="Times New Roman" w:hAnsi="Times New Roman" w:eastAsia="仿宋_GB2312" w:cs="Times New Roman"/>
          <w:color w:val="000000" w:themeColor="text1"/>
          <w:sz w:val="32"/>
          <w14:textFill>
            <w14:solidFill>
              <w14:schemeClr w14:val="tx1"/>
            </w14:solidFill>
          </w14:textFill>
        </w:rPr>
      </w:pPr>
    </w:p>
    <w:p>
      <w:pPr>
        <w:ind w:firstLine="643" w:firstLineChars="200"/>
        <w:rPr>
          <w:rFonts w:hint="default" w:ascii="Times New Roman" w:hAnsi="Times New Roman" w:eastAsia="仿宋_GB2312" w:cs="Times New Roman"/>
          <w:b/>
          <w:color w:val="000000" w:themeColor="text1"/>
          <w:sz w:val="32"/>
          <w14:textFill>
            <w14:solidFill>
              <w14:schemeClr w14:val="tx1"/>
            </w14:solidFill>
          </w14:textFill>
        </w:rPr>
      </w:pPr>
      <w:r>
        <w:rPr>
          <w:rFonts w:hint="default" w:ascii="Times New Roman" w:hAnsi="Times New Roman" w:eastAsia="仿宋_GB2312" w:cs="Times New Roman"/>
          <w:b/>
          <w:color w:val="000000" w:themeColor="text1"/>
          <w:sz w:val="32"/>
          <w14:textFill>
            <w14:solidFill>
              <w14:schemeClr w14:val="tx1"/>
            </w14:solidFill>
          </w14:textFill>
        </w:rPr>
        <w:t>部门预算公开联系人：</w:t>
      </w:r>
      <w:r>
        <w:rPr>
          <w:rFonts w:hint="eastAsia" w:eastAsia="仿宋_GB2312" w:cs="Times New Roman"/>
          <w:b/>
          <w:color w:val="000000" w:themeColor="text1"/>
          <w:sz w:val="32"/>
          <w:lang w:val="en-US" w:eastAsia="zh-CN"/>
          <w14:textFill>
            <w14:solidFill>
              <w14:schemeClr w14:val="tx1"/>
            </w14:solidFill>
          </w14:textFill>
        </w:rPr>
        <w:t>谭星星</w:t>
      </w:r>
      <w:r>
        <w:rPr>
          <w:rFonts w:hint="default" w:ascii="Times New Roman" w:hAnsi="Times New Roman" w:eastAsia="仿宋_GB2312" w:cs="Times New Roman"/>
          <w:b/>
          <w:color w:val="000000" w:themeColor="text1"/>
          <w:sz w:val="32"/>
          <w14:textFill>
            <w14:solidFill>
              <w14:schemeClr w14:val="tx1"/>
            </w14:solidFill>
          </w14:textFill>
        </w:rPr>
        <w:t xml:space="preserve">  联系方式：  </w:t>
      </w:r>
      <w:r>
        <w:rPr>
          <w:rFonts w:hint="default" w:ascii="Times New Roman" w:hAnsi="Times New Roman" w:eastAsia="方正仿宋_GBK" w:cs="Times New Roman"/>
          <w:b/>
          <w:color w:val="000000" w:themeColor="text1"/>
          <w:sz w:val="32"/>
          <w14:textFill>
            <w14:solidFill>
              <w14:schemeClr w14:val="tx1"/>
            </w14:solidFill>
          </w14:textFill>
        </w:rPr>
        <w:t>（</w:t>
      </w:r>
      <w:r>
        <w:rPr>
          <w:rFonts w:hint="eastAsia" w:eastAsia="仿宋_GB2312" w:cs="Times New Roman"/>
          <w:b/>
          <w:color w:val="000000" w:themeColor="text1"/>
          <w:sz w:val="32"/>
          <w:lang w:val="en-US" w:eastAsia="zh-CN"/>
          <w14:textFill>
            <w14:solidFill>
              <w14:schemeClr w14:val="tx1"/>
            </w14:solidFill>
          </w14:textFill>
        </w:rPr>
        <w:t>谭星星</w:t>
      </w:r>
      <w:r>
        <w:rPr>
          <w:rFonts w:hint="default" w:ascii="Times New Roman" w:hAnsi="Times New Roman" w:eastAsia="方正仿宋_GBK" w:cs="Times New Roman"/>
          <w:b/>
          <w:color w:val="000000" w:themeColor="text1"/>
          <w:sz w:val="32"/>
          <w14:textFill>
            <w14:solidFill>
              <w14:schemeClr w14:val="tx1"/>
            </w14:solidFill>
          </w14:textFill>
        </w:rPr>
        <w:t>，电话：023-</w:t>
      </w:r>
      <w:r>
        <w:rPr>
          <w:rFonts w:hint="eastAsia" w:eastAsia="方正仿宋_GBK" w:cs="Times New Roman"/>
          <w:b/>
          <w:color w:val="000000" w:themeColor="text1"/>
          <w:sz w:val="32"/>
          <w:lang w:val="en-US" w:eastAsia="zh-CN"/>
          <w14:textFill>
            <w14:solidFill>
              <w14:schemeClr w14:val="tx1"/>
            </w14:solidFill>
          </w14:textFill>
        </w:rPr>
        <w:t>51417520</w:t>
      </w:r>
      <w:r>
        <w:rPr>
          <w:rFonts w:hint="default" w:ascii="Times New Roman" w:hAnsi="Times New Roman" w:eastAsia="方正仿宋_GBK" w:cs="Times New Roman"/>
          <w:b/>
          <w:color w:val="000000" w:themeColor="text1"/>
          <w:sz w:val="32"/>
          <w14:textFill>
            <w14:solidFill>
              <w14:schemeClr w14:val="tx1"/>
            </w14:solidFill>
          </w14:textFill>
        </w:rPr>
        <w:t>）</w:t>
      </w:r>
    </w:p>
    <w:p>
      <w:pPr>
        <w:rPr>
          <w:rFonts w:hint="eastAsia" w:ascii="方正仿宋_GBK" w:hAnsi="方正仿宋_GBK" w:eastAsia="方正仿宋_GBK" w:cs="方正仿宋_GBK"/>
          <w:i w:val="0"/>
          <w:iCs w:val="0"/>
          <w:caps w:val="0"/>
          <w:color w:val="000000" w:themeColor="text1"/>
          <w:spacing w:val="0"/>
          <w:sz w:val="31"/>
          <w:szCs w:val="31"/>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
    <w:altName w:val="宋体"/>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43BC0"/>
    <w:rsid w:val="1B521A26"/>
    <w:rsid w:val="552519E7"/>
    <w:rsid w:val="71DCB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2026-02-05T10:22:08Z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0CE88C32A6FB4EA02B31836965E3775B_42</vt:lpwstr>
  </property>
</Properties>
</file>