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2C780D">
      <w:pPr>
        <w:spacing w:line="600" w:lineRule="exact"/>
        <w:jc w:val="center"/>
        <w:rPr>
          <w:rFonts w:ascii="华文中宋" w:hAnsi="华文中宋" w:eastAsia="华文中宋" w:cs="华文中宋"/>
          <w:color w:val="000000" w:themeColor="text1"/>
          <w:sz w:val="44"/>
          <w:szCs w:val="44"/>
          <w14:textFill>
            <w14:solidFill>
              <w14:schemeClr w14:val="tx1"/>
            </w14:solidFill>
          </w14:textFill>
        </w:rPr>
      </w:pPr>
      <w:r>
        <w:rPr>
          <w:rFonts w:ascii="方正小标宋" w:hAnsi="方正小标宋" w:eastAsia="方正小标宋" w:cs="方正小标宋"/>
          <w:i w:val="0"/>
          <w:iCs w:val="0"/>
          <w:caps w:val="0"/>
          <w:color w:val="000000" w:themeColor="text1"/>
          <w:spacing w:val="0"/>
          <w:sz w:val="43"/>
          <w:szCs w:val="43"/>
          <w:shd w:val="clear" w:color="auto" w:fill="FFFFFF"/>
          <w14:textFill>
            <w14:solidFill>
              <w14:schemeClr w14:val="tx1"/>
            </w14:solidFill>
          </w14:textFill>
        </w:rPr>
        <w:t>巫溪县中梁乡产业发展服务中心</w:t>
      </w:r>
      <w:r>
        <w:rPr>
          <w:rFonts w:hint="eastAsia" w:ascii="华文中宋" w:hAnsi="华文中宋" w:eastAsia="华文中宋" w:cs="华文中宋"/>
          <w:color w:val="000000" w:themeColor="text1"/>
          <w:sz w:val="44"/>
          <w:szCs w:val="44"/>
          <w14:textFill>
            <w14:solidFill>
              <w14:schemeClr w14:val="tx1"/>
            </w14:solidFill>
          </w14:textFill>
        </w:rPr>
        <w:t>20</w:t>
      </w:r>
      <w:r>
        <w:rPr>
          <w:rFonts w:ascii="华文中宋" w:hAnsi="华文中宋" w:eastAsia="华文中宋" w:cs="华文中宋"/>
          <w:color w:val="000000" w:themeColor="text1"/>
          <w:sz w:val="44"/>
          <w:szCs w:val="44"/>
          <w14:textFill>
            <w14:solidFill>
              <w14:schemeClr w14:val="tx1"/>
            </w14:solidFill>
          </w14:textFill>
        </w:rPr>
        <w:t>2</w:t>
      </w:r>
      <w:r>
        <w:rPr>
          <w:rFonts w:hint="eastAsia" w:ascii="华文中宋" w:hAnsi="华文中宋" w:eastAsia="华文中宋" w:cs="华文中宋"/>
          <w:color w:val="000000" w:themeColor="text1"/>
          <w:sz w:val="44"/>
          <w:szCs w:val="44"/>
          <w:lang w:val="en-US" w:eastAsia="zh-CN"/>
          <w14:textFill>
            <w14:solidFill>
              <w14:schemeClr w14:val="tx1"/>
            </w14:solidFill>
          </w14:textFill>
        </w:rPr>
        <w:t>6</w:t>
      </w:r>
      <w:r>
        <w:rPr>
          <w:rFonts w:hint="eastAsia" w:ascii="华文中宋" w:hAnsi="华文中宋" w:eastAsia="华文中宋" w:cs="华文中宋"/>
          <w:color w:val="000000" w:themeColor="text1"/>
          <w:sz w:val="44"/>
          <w:szCs w:val="44"/>
          <w14:textFill>
            <w14:solidFill>
              <w14:schemeClr w14:val="tx1"/>
            </w14:solidFill>
          </w14:textFill>
        </w:rPr>
        <w:t>年部门预算情况说明</w:t>
      </w:r>
    </w:p>
    <w:p w14:paraId="79AAA5A6">
      <w:pPr>
        <w:spacing w:line="600" w:lineRule="exact"/>
        <w:ind w:firstLine="880" w:firstLineChars="200"/>
        <w:jc w:val="center"/>
        <w:rPr>
          <w:rFonts w:hint="eastAsia" w:ascii="华文中宋" w:hAnsi="华文中宋" w:eastAsia="华文中宋" w:cs="华文中宋"/>
          <w:color w:val="000000" w:themeColor="text1"/>
          <w:sz w:val="44"/>
          <w:szCs w:val="44"/>
          <w14:textFill>
            <w14:solidFill>
              <w14:schemeClr w14:val="tx1"/>
            </w14:solidFill>
          </w14:textFill>
        </w:rPr>
      </w:pPr>
    </w:p>
    <w:p w14:paraId="77D58A00">
      <w:pPr>
        <w:numPr>
          <w:ilvl w:val="0"/>
          <w:numId w:val="1"/>
        </w:numPr>
        <w:spacing w:line="60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单位基本情况</w:t>
      </w:r>
    </w:p>
    <w:p w14:paraId="59DC744B">
      <w:pPr>
        <w:spacing w:line="60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（一）职能职责。</w:t>
      </w:r>
    </w:p>
    <w:p w14:paraId="628B00E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rPr>
          <w:rFonts w:ascii="微软雅黑" w:hAnsi="微软雅黑" w:eastAsia="微软雅黑" w:cs="微软雅黑"/>
          <w:i w:val="0"/>
          <w:iCs w:val="0"/>
          <w:caps w:val="0"/>
          <w:color w:val="000000" w:themeColor="text1"/>
          <w:spacing w:val="0"/>
          <w:sz w:val="27"/>
          <w:szCs w:val="27"/>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中梁乡产业发展服务中心是巫溪县人民政府的下设机构。部门现行的职能职责主要包括：认真贯彻执行党和国家的各项方针、政策；负责辖区内的农业、畜牧、水产、林业、水利等技术推广和服务工作；承办县委、县政府交办的其他事项。</w:t>
      </w:r>
    </w:p>
    <w:p w14:paraId="04FC3ACE">
      <w:pPr>
        <w:pStyle w:val="5"/>
        <w:tabs>
          <w:tab w:val="center" w:pos="4153"/>
          <w:tab w:val="left" w:pos="7275"/>
        </w:tabs>
        <w:spacing w:line="600" w:lineRule="exact"/>
        <w:ind w:left="640" w:firstLine="0" w:firstLineChars="0"/>
        <w:jc w:val="left"/>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（二）单位构成。</w:t>
      </w:r>
    </w:p>
    <w:p w14:paraId="257AC716">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default" w:ascii="Times New Roman" w:hAnsi="Times New Roman" w:cs="Times New Roman"/>
          <w:i w:val="0"/>
          <w:iCs w:val="0"/>
          <w:caps w:val="0"/>
          <w:color w:val="000000" w:themeColor="text1"/>
          <w:spacing w:val="0"/>
          <w:sz w:val="21"/>
          <w:szCs w:val="21"/>
          <w:highlight w:val="none"/>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lang w:val="en-US" w:eastAsia="zh-CN"/>
          <w14:textFill>
            <w14:solidFill>
              <w14:schemeClr w14:val="tx1"/>
            </w14:solidFill>
          </w14:textFill>
        </w:rPr>
        <w:t>由五个事业单位组成，分别是</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14:textFill>
            <w14:solidFill>
              <w14:schemeClr w14:val="tx1"/>
            </w14:solidFill>
          </w14:textFill>
        </w:rPr>
        <w:t>巫溪县中梁乡村居事务服务中心</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lang w:eastAsia="zh-CN"/>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14:textFill>
            <w14:solidFill>
              <w14:schemeClr w14:val="tx1"/>
            </w14:solidFill>
          </w14:textFill>
        </w:rPr>
        <w:t>巫溪县中梁乡新时代文明实践服务中心</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lang w:eastAsia="zh-CN"/>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14:textFill>
            <w14:solidFill>
              <w14:schemeClr w14:val="tx1"/>
            </w14:solidFill>
          </w14:textFill>
        </w:rPr>
        <w:t>巫溪县中梁乡综合行政执法大队</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lang w:eastAsia="zh-CN"/>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14:textFill>
            <w14:solidFill>
              <w14:schemeClr w14:val="tx1"/>
            </w14:solidFill>
          </w14:textFill>
        </w:rPr>
        <w:t>巫溪县中梁乡便民服务中心</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lang w:eastAsia="zh-CN"/>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14:textFill>
            <w14:solidFill>
              <w14:schemeClr w14:val="tx1"/>
            </w14:solidFill>
          </w14:textFill>
        </w:rPr>
        <w:t>巫溪县中梁乡产业发展服务中心。总编制人数</w:t>
      </w:r>
      <w:r>
        <w:rPr>
          <w:rFonts w:hint="default" w:ascii="Times New Roman" w:hAnsi="Times New Roman" w:eastAsia="微软雅黑" w:cs="Times New Roman"/>
          <w:i w:val="0"/>
          <w:iCs w:val="0"/>
          <w:caps w:val="0"/>
          <w:color w:val="000000" w:themeColor="text1"/>
          <w:spacing w:val="0"/>
          <w:sz w:val="31"/>
          <w:szCs w:val="31"/>
          <w:highlight w:val="none"/>
          <w:shd w:val="clear" w:color="auto" w:fill="FFFFFF"/>
          <w14:textFill>
            <w14:solidFill>
              <w14:schemeClr w14:val="tx1"/>
            </w14:solidFill>
          </w14:textFill>
        </w:rPr>
        <w:t>11</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14:textFill>
            <w14:solidFill>
              <w14:schemeClr w14:val="tx1"/>
            </w14:solidFill>
          </w14:textFill>
        </w:rPr>
        <w:t>人，实有人数</w:t>
      </w:r>
      <w:r>
        <w:rPr>
          <w:rFonts w:hint="default" w:ascii="Times New Roman" w:hAnsi="Times New Roman" w:eastAsia="微软雅黑" w:cs="Times New Roman"/>
          <w:i w:val="0"/>
          <w:iCs w:val="0"/>
          <w:caps w:val="0"/>
          <w:color w:val="000000" w:themeColor="text1"/>
          <w:spacing w:val="0"/>
          <w:sz w:val="31"/>
          <w:szCs w:val="31"/>
          <w:highlight w:val="none"/>
          <w:shd w:val="clear" w:color="auto" w:fill="FFFFFF"/>
          <w14:textFill>
            <w14:solidFill>
              <w14:schemeClr w14:val="tx1"/>
            </w14:solidFill>
          </w14:textFill>
        </w:rPr>
        <w:t>10</w:t>
      </w:r>
      <w:r>
        <w:rPr>
          <w:rFonts w:hint="eastAsia" w:ascii="方正仿宋_GBK" w:hAnsi="方正仿宋_GBK" w:eastAsia="方正仿宋_GBK" w:cs="方正仿宋_GBK"/>
          <w:i w:val="0"/>
          <w:iCs w:val="0"/>
          <w:caps w:val="0"/>
          <w:color w:val="000000" w:themeColor="text1"/>
          <w:spacing w:val="0"/>
          <w:sz w:val="31"/>
          <w:szCs w:val="31"/>
          <w:highlight w:val="none"/>
          <w:shd w:val="clear" w:color="auto" w:fill="FFFFFF"/>
          <w14:textFill>
            <w14:solidFill>
              <w14:schemeClr w14:val="tx1"/>
            </w14:solidFill>
          </w14:textFill>
        </w:rPr>
        <w:t>人。</w:t>
      </w:r>
    </w:p>
    <w:p w14:paraId="24E7B61A">
      <w:pPr>
        <w:numPr>
          <w:ilvl w:val="0"/>
          <w:numId w:val="1"/>
        </w:numPr>
        <w:spacing w:line="60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部门收支总体情况</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（表六</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至表八</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p>
    <w:p w14:paraId="342DA1E9">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（一）收入预算：202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年年初预算数195.64万元，其中：一般公共预算拨款195.64万元，政府性基金预算拨款</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万元，国有资本经营预算收入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万元，事业收入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万元，事业单位经营收入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万元，其他收入</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w:t>
      </w:r>
      <w:r>
        <w:rPr>
          <w:rFonts w:hint="eastAsia" w:ascii="Times New Roman" w:hAnsi="Times New Roman" w:eastAsia="方正仿宋_GBK" w:cs="Times New Roman"/>
          <w:color w:val="000000" w:themeColor="text1"/>
          <w:sz w:val="32"/>
          <w:szCs w:val="32"/>
          <w14:textFill>
            <w14:solidFill>
              <w14:schemeClr w14:val="tx1"/>
            </w14:solidFill>
          </w14:textFill>
        </w:rPr>
        <w:t>收入较去年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增加</w:t>
      </w:r>
      <w:r>
        <w:rPr>
          <w:rFonts w:hint="eastAsia" w:ascii="Times New Roman" w:hAnsi="Times New Roman" w:eastAsia="方正仿宋_GBK" w:cs="Times New Roman"/>
          <w:color w:val="000000" w:themeColor="text1"/>
          <w:sz w:val="32"/>
          <w:szCs w:val="32"/>
          <w14:textFill>
            <w14:solidFill>
              <w14:schemeClr w14:val="tx1"/>
            </w14:solidFill>
          </w14:textFill>
        </w:rPr>
        <w:t>18.41万元</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eastAsia" w:ascii="Times New Roman" w:hAnsi="Times New Roman" w:eastAsia="方正仿宋_GBK" w:cs="Times New Roman"/>
          <w:color w:val="000000" w:themeColor="text1"/>
          <w:sz w:val="32"/>
          <w:szCs w:val="32"/>
          <w14:textFill>
            <w14:solidFill>
              <w14:schemeClr w14:val="tx1"/>
            </w14:solidFill>
          </w14:textFill>
        </w:rPr>
        <w:t>一</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般公共服务收入经费拨款</w:t>
      </w:r>
      <w:r>
        <w:rPr>
          <w:rFonts w:hint="eastAsia"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增加</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11.83万元，社会保障和就业经费拨款</w:t>
      </w:r>
      <w:r>
        <w:rPr>
          <w:rFonts w:hint="eastAsia"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增加</w:t>
      </w:r>
      <w:r>
        <w:rPr>
          <w:rFonts w:hint="default" w:ascii="Times New Roman" w:hAnsi="Times New Roman" w:eastAsia="方正仿宋_GBK" w:cs="Times New Roman"/>
          <w:i w:val="0"/>
          <w:iCs w:val="0"/>
          <w:caps w:val="0"/>
          <w:color w:val="000000" w:themeColor="text1"/>
          <w:spacing w:val="0"/>
          <w:sz w:val="31"/>
          <w:szCs w:val="31"/>
          <w:shd w:val="clear" w:color="auto" w:fill="FFFFFF"/>
          <w14:textFill>
            <w14:solidFill>
              <w14:schemeClr w14:val="tx1"/>
            </w14:solidFill>
          </w14:textFill>
        </w:rPr>
        <w:t>3.88</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万元，卫生健康经费拨款</w:t>
      </w:r>
      <w:r>
        <w:rPr>
          <w:rFonts w:hint="eastAsia"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增加</w:t>
      </w:r>
      <w:r>
        <w:rPr>
          <w:rFonts w:hint="default" w:ascii="Times New Roman" w:hAnsi="Times New Roman" w:eastAsia="方正仿宋_GBK" w:cs="Times New Roman"/>
          <w:i w:val="0"/>
          <w:iCs w:val="0"/>
          <w:caps w:val="0"/>
          <w:color w:val="000000" w:themeColor="text1"/>
          <w:spacing w:val="0"/>
          <w:sz w:val="31"/>
          <w:szCs w:val="31"/>
          <w:shd w:val="clear" w:color="auto" w:fill="FFFFFF"/>
          <w14:textFill>
            <w14:solidFill>
              <w14:schemeClr w14:val="tx1"/>
            </w14:solidFill>
          </w14:textFill>
        </w:rPr>
        <w:t>1.23</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万元，住房保障经费拨款</w:t>
      </w:r>
      <w:r>
        <w:rPr>
          <w:rFonts w:hint="eastAsia"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增加</w:t>
      </w:r>
      <w:r>
        <w:rPr>
          <w:rFonts w:hint="default" w:ascii="Times New Roman" w:hAnsi="Times New Roman" w:eastAsia="方正仿宋_GBK" w:cs="Times New Roman"/>
          <w:i w:val="0"/>
          <w:iCs w:val="0"/>
          <w:caps w:val="0"/>
          <w:color w:val="000000" w:themeColor="text1"/>
          <w:spacing w:val="0"/>
          <w:sz w:val="31"/>
          <w:szCs w:val="31"/>
          <w:shd w:val="clear" w:color="auto" w:fill="FFFFFF"/>
          <w14:textFill>
            <w14:solidFill>
              <w14:schemeClr w14:val="tx1"/>
            </w14:solidFill>
          </w14:textFill>
        </w:rPr>
        <w:t>1.47</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万元</w:t>
      </w:r>
      <w:r>
        <w:rPr>
          <w:rFonts w:hint="default" w:ascii="Times New Roman" w:hAnsi="Times New Roman" w:eastAsia="方正仿宋_GBK" w:cs="Times New Roman"/>
          <w:color w:val="000000" w:themeColor="text1"/>
          <w:sz w:val="32"/>
          <w:szCs w:val="32"/>
          <w14:textFill>
            <w14:solidFill>
              <w14:schemeClr w14:val="tx1"/>
            </w14:solidFill>
          </w14:textFill>
        </w:rPr>
        <w:t>。</w:t>
      </w:r>
    </w:p>
    <w:p w14:paraId="18289899">
      <w:pPr>
        <w:spacing w:line="60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（二）支出预算：202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年年初预算数195.64万元，其中：一般公共服务支出147.61万元，教育支出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万元，社会保障和就业支出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32.17</w:t>
      </w:r>
      <w:r>
        <w:rPr>
          <w:rFonts w:hint="default" w:ascii="Times New Roman" w:hAnsi="Times New Roman" w:eastAsia="方正仿宋_GBK" w:cs="Times New Roman"/>
          <w:color w:val="000000" w:themeColor="text1"/>
          <w:sz w:val="32"/>
          <w:szCs w:val="32"/>
          <w14:textFill>
            <w14:solidFill>
              <w14:schemeClr w14:val="tx1"/>
            </w14:solidFill>
          </w14:textFill>
        </w:rPr>
        <w:t>万元，卫生健康支出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7.21</w:t>
      </w:r>
      <w:r>
        <w:rPr>
          <w:rFonts w:hint="default" w:ascii="Times New Roman" w:hAnsi="Times New Roman" w:eastAsia="方正仿宋_GBK" w:cs="Times New Roman"/>
          <w:color w:val="000000" w:themeColor="text1"/>
          <w:sz w:val="32"/>
          <w:szCs w:val="32"/>
          <w14:textFill>
            <w14:solidFill>
              <w14:schemeClr w14:val="tx1"/>
            </w14:solidFill>
          </w14:textFill>
        </w:rPr>
        <w:t>万元，</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节能环保</w:t>
      </w:r>
      <w:r>
        <w:rPr>
          <w:rFonts w:hint="default" w:ascii="Times New Roman" w:hAnsi="Times New Roman" w:eastAsia="方正仿宋_GBK" w:cs="Times New Roman"/>
          <w:color w:val="000000" w:themeColor="text1"/>
          <w:sz w:val="32"/>
          <w:szCs w:val="32"/>
          <w14:textFill>
            <w14:solidFill>
              <w14:schemeClr w14:val="tx1"/>
            </w14:solidFill>
          </w14:textFill>
        </w:rPr>
        <w:t>支出</w:t>
      </w:r>
      <w:r>
        <w:rPr>
          <w:rFonts w:hint="eastAsia"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农林水</w:t>
      </w:r>
      <w:r>
        <w:rPr>
          <w:rFonts w:hint="default" w:ascii="Times New Roman" w:hAnsi="Times New Roman" w:eastAsia="方正仿宋_GBK" w:cs="Times New Roman"/>
          <w:color w:val="000000" w:themeColor="text1"/>
          <w:sz w:val="32"/>
          <w:szCs w:val="32"/>
          <w14:textFill>
            <w14:solidFill>
              <w14:schemeClr w14:val="tx1"/>
            </w14:solidFill>
          </w14:textFill>
        </w:rPr>
        <w:t>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万元，住房保障支出8.65万元</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灾害防治及应急管理支出</w:t>
      </w:r>
      <w:r>
        <w:rPr>
          <w:rFonts w:hint="eastAsia"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0万元</w:t>
      </w:r>
      <w:r>
        <w:rPr>
          <w:rFonts w:hint="default"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。支出较去年</w:t>
      </w:r>
      <w:r>
        <w:rPr>
          <w:rFonts w:hint="eastAsia"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增加</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18.41万元</w:t>
      </w:r>
      <w:r>
        <w:rPr>
          <w:rFonts w:hint="default"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，主要是基本支出增加</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18.41</w:t>
      </w:r>
      <w:r>
        <w:rPr>
          <w:rFonts w:hint="default"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万元</w:t>
      </w:r>
      <w:r>
        <w:rPr>
          <w:rFonts w:hint="default" w:ascii="Times New Roman" w:hAnsi="Times New Roman" w:eastAsia="方正仿宋_GBK" w:cs="Times New Roman"/>
          <w:color w:val="000000" w:themeColor="text1"/>
          <w:sz w:val="32"/>
          <w:szCs w:val="32"/>
          <w14:textFill>
            <w14:solidFill>
              <w14:schemeClr w14:val="tx1"/>
            </w14:solidFill>
          </w14:textFill>
        </w:rPr>
        <w:t>，项目支出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增加0</w:t>
      </w:r>
      <w:r>
        <w:rPr>
          <w:rFonts w:hint="default" w:ascii="Times New Roman" w:hAnsi="Times New Roman" w:eastAsia="方正仿宋_GBK" w:cs="Times New Roman"/>
          <w:color w:val="000000" w:themeColor="text1"/>
          <w:sz w:val="32"/>
          <w:szCs w:val="32"/>
          <w14:textFill>
            <w14:solidFill>
              <w14:schemeClr w14:val="tx1"/>
            </w14:solidFill>
          </w14:textFill>
        </w:rPr>
        <w:t>万元。</w:t>
      </w:r>
    </w:p>
    <w:p w14:paraId="48D3029A">
      <w:pPr>
        <w:spacing w:line="600" w:lineRule="exact"/>
        <w:ind w:firstLine="640" w:firstLineChars="200"/>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pP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按照</w:t>
      </w:r>
      <w:r>
        <w:rPr>
          <w:rFonts w:hint="eastAsia" w:ascii="Times New Roman" w:hAnsi="Times New Roman" w:eastAsia="方正仿宋_GBK" w:cs="Times New Roman"/>
          <w:color w:val="000000" w:themeColor="text1"/>
          <w:sz w:val="32"/>
          <w:szCs w:val="32"/>
          <w:highlight w:val="none"/>
          <w:lang w:eastAsia="zh-CN"/>
          <w14:textFill>
            <w14:solidFill>
              <w14:schemeClr w14:val="tx1"/>
            </w14:solidFill>
          </w14:textFill>
        </w:rPr>
        <w:t>我县预</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算管理要求，结转金额已纳入相应性质的资金收入中进行反映，上述收入包括</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2025年结转并编制到2026年预算的资金。</w:t>
      </w:r>
    </w:p>
    <w:p w14:paraId="2DD2F088">
      <w:pPr>
        <w:numPr>
          <w:ilvl w:val="0"/>
          <w:numId w:val="1"/>
        </w:numPr>
        <w:spacing w:line="60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部门预算情况说明</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（表一</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至表三、表五</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w:t>
      </w:r>
    </w:p>
    <w:p w14:paraId="7E6A118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default" w:ascii="Times New Roman" w:hAnsi="Times New Roman" w:cs="Times New Roman"/>
          <w:i w:val="0"/>
          <w:iCs w:val="0"/>
          <w:caps w:val="0"/>
          <w:color w:val="000000" w:themeColor="text1"/>
          <w:spacing w:val="0"/>
          <w:sz w:val="21"/>
          <w:szCs w:val="21"/>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年一般公共预算财政拨款收入195.64万元，一般公共预算财政拨款支出195.64万元，比202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增加</w:t>
      </w:r>
      <w:r>
        <w:rPr>
          <w:rFonts w:hint="eastAsia" w:ascii="Times New Roman" w:hAnsi="Times New Roman" w:eastAsia="方正仿宋_GBK" w:cs="Times New Roman"/>
          <w:color w:val="000000" w:themeColor="text1"/>
          <w:sz w:val="32"/>
          <w:szCs w:val="32"/>
          <w14:textFill>
            <w14:solidFill>
              <w14:schemeClr w14:val="tx1"/>
            </w14:solidFill>
          </w14:textFill>
        </w:rPr>
        <w:t>18.41</w:t>
      </w:r>
      <w:r>
        <w:rPr>
          <w:rFonts w:hint="default" w:ascii="Times New Roman" w:hAnsi="Times New Roman" w:eastAsia="方正仿宋_GBK" w:cs="Times New Roman"/>
          <w:color w:val="000000" w:themeColor="text1"/>
          <w:sz w:val="32"/>
          <w:szCs w:val="32"/>
          <w14:textFill>
            <w14:solidFill>
              <w14:schemeClr w14:val="tx1"/>
            </w14:solidFill>
          </w14:textFill>
        </w:rPr>
        <w:t>万元。其中：基本支出195.64万元，比202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年增加</w:t>
      </w:r>
      <w:r>
        <w:rPr>
          <w:rFonts w:hint="eastAsia" w:ascii="Times New Roman" w:hAnsi="Times New Roman" w:eastAsia="方正仿宋_GBK" w:cs="Times New Roman"/>
          <w:color w:val="000000" w:themeColor="text1"/>
          <w:sz w:val="32"/>
          <w:szCs w:val="32"/>
          <w14:textFill>
            <w14:solidFill>
              <w14:schemeClr w14:val="tx1"/>
            </w14:solidFill>
          </w14:textFill>
        </w:rPr>
        <w:t>18.41</w:t>
      </w:r>
      <w:r>
        <w:rPr>
          <w:rFonts w:hint="default" w:ascii="Times New Roman" w:hAnsi="Times New Roman" w:eastAsia="方正仿宋_GBK" w:cs="Times New Roman"/>
          <w:color w:val="000000" w:themeColor="text1"/>
          <w:sz w:val="32"/>
          <w:szCs w:val="32"/>
          <w14:textFill>
            <w14:solidFill>
              <w14:schemeClr w14:val="tx1"/>
            </w14:solidFill>
          </w14:textFill>
        </w:rPr>
        <w:t>万元，主要原因是</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人员普涨薪资</w:t>
      </w:r>
      <w:r>
        <w:rPr>
          <w:rFonts w:hint="default" w:ascii="Times New Roman" w:hAnsi="Times New Roman" w:eastAsia="方正仿宋_GBK" w:cs="Times New Roman"/>
          <w:color w:val="000000" w:themeColor="text1"/>
          <w:sz w:val="32"/>
          <w:szCs w:val="32"/>
          <w14:textFill>
            <w14:solidFill>
              <w14:schemeClr w14:val="tx1"/>
            </w14:solidFill>
          </w14:textFill>
        </w:rPr>
        <w:t>等</w:t>
      </w:r>
      <w:r>
        <w:rPr>
          <w:rFonts w:hint="eastAsia" w:ascii="Times New Roman" w:hAnsi="Times New Roman" w:eastAsia="方正仿宋_GBK" w:cs="Times New Roman"/>
          <w:color w:val="000000" w:themeColor="text1"/>
          <w:sz w:val="32"/>
          <w:szCs w:val="32"/>
          <w:lang w:eastAsia="zh-CN"/>
          <w14:textFill>
            <w14:solidFill>
              <w14:schemeClr w14:val="tx1"/>
            </w14:solidFill>
          </w14:textFill>
        </w:rPr>
        <w:t>，</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增加了人员经费</w:t>
      </w:r>
      <w:r>
        <w:rPr>
          <w:rFonts w:hint="default" w:ascii="Times New Roman" w:hAnsi="Times New Roman" w:eastAsia="方正仿宋_GBK" w:cs="Times New Roman"/>
          <w:color w:val="000000" w:themeColor="text1"/>
          <w:sz w:val="32"/>
          <w:szCs w:val="32"/>
          <w14:textFill>
            <w14:solidFill>
              <w14:schemeClr w14:val="tx1"/>
            </w14:solidFill>
          </w14:textFill>
        </w:rPr>
        <w:t>，主要用于保障在职人员工资福利及社会保险缴费，离休人员离休费，退休人员补助等，保障部门正常运转的各项商品服务支出；项目支出</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万元，比202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增加0</w:t>
      </w:r>
      <w:r>
        <w:rPr>
          <w:rFonts w:hint="default" w:ascii="Times New Roman" w:hAnsi="Times New Roman" w:eastAsia="方正仿宋_GBK" w:cs="Times New Roman"/>
          <w:color w:val="000000" w:themeColor="text1"/>
          <w:sz w:val="32"/>
          <w:szCs w:val="32"/>
          <w14:textFill>
            <w14:solidFill>
              <w14:schemeClr w14:val="tx1"/>
            </w14:solidFill>
          </w14:textFill>
        </w:rPr>
        <w:t>万元，</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主要原因是产业发展服务中心无项目。</w:t>
      </w:r>
    </w:p>
    <w:p w14:paraId="14101011">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eastAsia" w:ascii="方正仿宋_GBK" w:hAnsi="方正仿宋_GBK" w:eastAsia="方正仿宋_GBK" w:cs="方正仿宋_GBK"/>
          <w:i w:val="0"/>
          <w:iCs w:val="0"/>
          <w:caps w:val="0"/>
          <w:color w:val="000000" w:themeColor="text1"/>
          <w:spacing w:val="0"/>
          <w:sz w:val="31"/>
          <w:szCs w:val="31"/>
          <w:shd w:val="clear" w:color="auto" w:fill="FFFFFF"/>
          <w:lang w:eastAsia="zh-CN"/>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巫溪县中梁乡</w:t>
      </w:r>
      <w:r>
        <w:rPr>
          <w:rFonts w:hint="eastAsia"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产业发展服务</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中心</w:t>
      </w:r>
      <w:r>
        <w:rPr>
          <w:rFonts w:hint="default"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202</w:t>
      </w:r>
      <w:r>
        <w:rPr>
          <w:rFonts w:hint="default" w:ascii="方正仿宋_GBK" w:hAnsi="方正仿宋_GBK" w:eastAsia="方正仿宋_GBK" w:cs="方正仿宋_GBK"/>
          <w:i w:val="0"/>
          <w:iCs w:val="0"/>
          <w:caps w:val="0"/>
          <w:color w:val="000000" w:themeColor="text1"/>
          <w:spacing w:val="0"/>
          <w:sz w:val="31"/>
          <w:szCs w:val="31"/>
          <w:shd w:val="clear" w:color="auto" w:fill="FFFFFF"/>
          <w:lang w:val="en-US" w:eastAsia="zh-CN"/>
          <w14:textFill>
            <w14:solidFill>
              <w14:schemeClr w14:val="tx1"/>
            </w14:solidFill>
          </w14:textFill>
        </w:rPr>
        <w:t>6</w:t>
      </w:r>
      <w:r>
        <w:rPr>
          <w:rFonts w:hint="default"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年无使用政府性基金预算拨款安排的支出</w:t>
      </w:r>
      <w:r>
        <w:rPr>
          <w:rFonts w:hint="eastAsia" w:ascii="方正仿宋_GBK" w:hAnsi="方正仿宋_GBK" w:eastAsia="方正仿宋_GBK" w:cs="方正仿宋_GBK"/>
          <w:i w:val="0"/>
          <w:iCs w:val="0"/>
          <w:caps w:val="0"/>
          <w:color w:val="000000" w:themeColor="text1"/>
          <w:spacing w:val="0"/>
          <w:sz w:val="31"/>
          <w:szCs w:val="31"/>
          <w:shd w:val="clear" w:color="auto" w:fill="FFFFFF"/>
          <w:lang w:eastAsia="zh-CN"/>
          <w14:textFill>
            <w14:solidFill>
              <w14:schemeClr w14:val="tx1"/>
            </w14:solidFill>
          </w14:textFill>
        </w:rPr>
        <w:t>。</w:t>
      </w:r>
    </w:p>
    <w:p w14:paraId="46F09866">
      <w:pPr>
        <w:numPr>
          <w:ilvl w:val="0"/>
          <w:numId w:val="1"/>
        </w:numPr>
        <w:spacing w:line="60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“三公”经费情况说明</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（表四）</w:t>
      </w:r>
    </w:p>
    <w:p w14:paraId="6B64BC7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00"/>
        <w:jc w:val="both"/>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年“三公”经费预算</w:t>
      </w:r>
      <w:r>
        <w:rPr>
          <w:rFonts w:hint="default" w:ascii="Times New Roman" w:hAnsi="Times New Roman" w:cs="Times New Roman"/>
          <w:i w:val="0"/>
          <w:iCs w:val="0"/>
          <w:caps w:val="0"/>
          <w:color w:val="000000" w:themeColor="text1"/>
          <w:spacing w:val="0"/>
          <w:sz w:val="31"/>
          <w:szCs w:val="31"/>
          <w:shd w:val="clear" w:color="auto" w:fill="FFFFFF"/>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万元，比202</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年减少</w:t>
      </w:r>
      <w:r>
        <w:rPr>
          <w:rFonts w:hint="default" w:ascii="Times New Roman" w:hAnsi="Times New Roman" w:cs="Times New Roman"/>
          <w:i w:val="0"/>
          <w:iCs w:val="0"/>
          <w:caps w:val="0"/>
          <w:color w:val="000000" w:themeColor="text1"/>
          <w:spacing w:val="0"/>
          <w:sz w:val="31"/>
          <w:szCs w:val="31"/>
          <w:shd w:val="clear" w:color="auto" w:fill="FFFFFF"/>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万元。其中：因公出国（境）费用</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万元，比202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w:t>
      </w:r>
      <w:r>
        <w:rPr>
          <w:rFonts w:hint="default" w:ascii="Times New Roman" w:hAnsi="Times New Roman" w:eastAsia="方正仿宋_GBK" w:cs="Times New Roman"/>
          <w:i w:val="0"/>
          <w:iCs w:val="0"/>
          <w:caps w:val="0"/>
          <w:color w:val="000000" w:themeColor="text1"/>
          <w:spacing w:val="0"/>
          <w:sz w:val="31"/>
          <w:szCs w:val="31"/>
          <w:shd w:val="clear" w:color="auto" w:fill="FFFFFF"/>
          <w14:textFill>
            <w14:solidFill>
              <w14:schemeClr w14:val="tx1"/>
            </w14:solidFill>
          </w14:textFill>
        </w:rPr>
        <w:t>0</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万元，主要原因是</w:t>
      </w:r>
      <w:r>
        <w:rPr>
          <w:rFonts w:hint="default" w:ascii="Times New Roman" w:hAnsi="Times New Roman" w:eastAsia="方正仿宋_GBK" w:cs="Times New Roman"/>
          <w:color w:val="000000" w:themeColor="text1"/>
          <w:sz w:val="32"/>
          <w:szCs w:val="32"/>
          <w14:textFill>
            <w14:solidFill>
              <w14:schemeClr w14:val="tx1"/>
            </w14:solidFill>
          </w14:textFill>
        </w:rPr>
        <w:t>我单位暂无因公出国（境）；公务接待费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万元，比202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年减少</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主要原因是我单位暂无接待活动</w:t>
      </w:r>
      <w:r>
        <w:rPr>
          <w:rFonts w:hint="default" w:ascii="Times New Roman" w:hAnsi="Times New Roman" w:eastAsia="方正仿宋_GBK" w:cs="Times New Roman"/>
          <w:color w:val="000000" w:themeColor="text1"/>
          <w:sz w:val="32"/>
          <w:szCs w:val="32"/>
          <w14:textFill>
            <w14:solidFill>
              <w14:schemeClr w14:val="tx1"/>
            </w14:solidFill>
          </w14:textFill>
        </w:rPr>
        <w:t>；公务用车运行维护费</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万元，比202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w:t>
      </w:r>
      <w:r>
        <w:rPr>
          <w:rFonts w:hint="default" w:ascii="Times New Roman" w:hAnsi="Times New Roman" w:eastAsia="方正仿宋_GBK" w:cs="Times New Roman"/>
          <w:i w:val="0"/>
          <w:iCs w:val="0"/>
          <w:caps w:val="0"/>
          <w:color w:val="000000" w:themeColor="text1"/>
          <w:spacing w:val="0"/>
          <w:sz w:val="31"/>
          <w:szCs w:val="31"/>
          <w:shd w:val="clear" w:color="auto" w:fill="FFFFFF"/>
          <w14:textFill>
            <w14:solidFill>
              <w14:schemeClr w14:val="tx1"/>
            </w14:solidFill>
          </w14:textFill>
        </w:rPr>
        <w:t>0</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万元，主要原因是我单位暂无公务用车</w:t>
      </w:r>
      <w:r>
        <w:rPr>
          <w:rFonts w:hint="default" w:ascii="Times New Roman" w:hAnsi="Times New Roman" w:eastAsia="方正仿宋_GBK" w:cs="Times New Roman"/>
          <w:color w:val="000000" w:themeColor="text1"/>
          <w:sz w:val="32"/>
          <w:szCs w:val="32"/>
          <w14:textFill>
            <w14:solidFill>
              <w14:schemeClr w14:val="tx1"/>
            </w14:solidFill>
          </w14:textFill>
        </w:rPr>
        <w:t>；</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公务用车购置费</w:t>
      </w:r>
      <w:r>
        <w:rPr>
          <w:rFonts w:hint="default" w:ascii="Times New Roman" w:hAnsi="Times New Roman" w:eastAsia="方正仿宋_GBK" w:cs="Times New Roman"/>
          <w:i w:val="0"/>
          <w:iCs w:val="0"/>
          <w:caps w:val="0"/>
          <w:color w:val="000000" w:themeColor="text1"/>
          <w:spacing w:val="0"/>
          <w:sz w:val="31"/>
          <w:szCs w:val="31"/>
          <w:shd w:val="clear" w:color="auto" w:fill="FFFFFF"/>
          <w14:textFill>
            <w14:solidFill>
              <w14:schemeClr w14:val="tx1"/>
            </w14:solidFill>
          </w14:textFill>
        </w:rPr>
        <w:t>0</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万元，比</w:t>
      </w:r>
      <w:r>
        <w:rPr>
          <w:rFonts w:hint="default" w:ascii="Times New Roman" w:hAnsi="Times New Roman" w:eastAsia="方正仿宋_GBK" w:cs="Times New Roman"/>
          <w:i w:val="0"/>
          <w:iCs w:val="0"/>
          <w:caps w:val="0"/>
          <w:color w:val="000000" w:themeColor="text1"/>
          <w:spacing w:val="0"/>
          <w:sz w:val="31"/>
          <w:szCs w:val="31"/>
          <w:shd w:val="clear" w:color="auto" w:fill="FFFFFF"/>
          <w14:textFill>
            <w14:solidFill>
              <w14:schemeClr w14:val="tx1"/>
            </w14:solidFill>
          </w14:textFill>
        </w:rPr>
        <w:t>20</w:t>
      </w:r>
      <w:r>
        <w:rPr>
          <w:rFonts w:hint="default" w:ascii="Times New Roman" w:hAnsi="Times New Roman" w:cs="Times New Roman"/>
          <w:i w:val="0"/>
          <w:iCs w:val="0"/>
          <w:caps w:val="0"/>
          <w:color w:val="000000" w:themeColor="text1"/>
          <w:spacing w:val="0"/>
          <w:sz w:val="31"/>
          <w:szCs w:val="31"/>
          <w:shd w:val="clear" w:color="auto" w:fill="FFFFFF"/>
          <w14:textFill>
            <w14:solidFill>
              <w14:schemeClr w14:val="tx1"/>
            </w14:solidFill>
          </w14:textFill>
        </w:rPr>
        <w:t>2</w:t>
      </w:r>
      <w:r>
        <w:rPr>
          <w:rFonts w:hint="eastAsia" w:ascii="Times New Roman" w:hAnsi="Times New Roman" w:cs="Times New Roman"/>
          <w:i w:val="0"/>
          <w:iCs w:val="0"/>
          <w:caps w:val="0"/>
          <w:color w:val="000000" w:themeColor="text1"/>
          <w:spacing w:val="0"/>
          <w:sz w:val="31"/>
          <w:szCs w:val="31"/>
          <w:shd w:val="clear" w:color="auto" w:fill="FFFFFF"/>
          <w:lang w:val="en-US" w:eastAsia="zh-CN"/>
          <w14:textFill>
            <w14:solidFill>
              <w14:schemeClr w14:val="tx1"/>
            </w14:solidFill>
          </w14:textFill>
        </w:rPr>
        <w:t>5</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年增加</w:t>
      </w:r>
      <w:r>
        <w:rPr>
          <w:rFonts w:hint="default" w:ascii="Times New Roman" w:hAnsi="Times New Roman" w:eastAsia="方正仿宋_GBK" w:cs="Times New Roman"/>
          <w:i w:val="0"/>
          <w:iCs w:val="0"/>
          <w:caps w:val="0"/>
          <w:color w:val="000000" w:themeColor="text1"/>
          <w:spacing w:val="0"/>
          <w:sz w:val="31"/>
          <w:szCs w:val="31"/>
          <w:shd w:val="clear" w:color="auto" w:fill="FFFFFF"/>
          <w14:textFill>
            <w14:solidFill>
              <w14:schemeClr w14:val="tx1"/>
            </w14:solidFill>
          </w14:textFill>
        </w:rPr>
        <w:t>0</w:t>
      </w: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万元；主要原因是无购置公务用车计划</w:t>
      </w:r>
      <w:r>
        <w:rPr>
          <w:rFonts w:hint="default" w:ascii="Times New Roman" w:hAnsi="Times New Roman" w:eastAsia="方正仿宋_GBK" w:cs="Times New Roman"/>
          <w:color w:val="000000" w:themeColor="text1"/>
          <w:sz w:val="32"/>
          <w:szCs w:val="32"/>
          <w14:textFill>
            <w14:solidFill>
              <w14:schemeClr w14:val="tx1"/>
            </w14:solidFill>
          </w14:textFill>
        </w:rPr>
        <w:t>。</w:t>
      </w:r>
    </w:p>
    <w:p w14:paraId="41E2D0CC">
      <w:pPr>
        <w:numPr>
          <w:ilvl w:val="0"/>
          <w:numId w:val="1"/>
        </w:numPr>
        <w:spacing w:line="600" w:lineRule="exact"/>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其他重要事项的情况说明</w:t>
      </w:r>
    </w:p>
    <w:p w14:paraId="22FEFB79">
      <w:pPr>
        <w:ind w:firstLine="620" w:firstLineChars="200"/>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pPr>
      <w: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t>1、我单位不在机关运行经费统计范围之内。</w:t>
      </w:r>
    </w:p>
    <w:p w14:paraId="21A507EF">
      <w:pPr>
        <w:ind w:firstLine="640" w:firstLineChars="200"/>
        <w:rPr>
          <w:rFonts w:hint="default" w:ascii="Times New Roman" w:hAnsi="Times New Roman" w:eastAsia="方正仿宋_GBK" w:cs="Times New Roman"/>
          <w:color w:val="000000" w:themeColor="text1"/>
          <w:sz w:val="32"/>
          <w:szCs w:val="32"/>
          <w:lang w:eastAsia="zh-CN"/>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2、政府采购情况。所属各预算单位政府采购预算总额</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万元：政府采购货物预算</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万元、政府采购工程预算</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万元、政府采购服务预算</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万元；其中一般公共预算拨款政府采购</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万元：政府采购货物预算</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万元、政府采购工程预算</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万元、政府采购服务预算</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w:t>
      </w:r>
      <w:r>
        <w:rPr>
          <w:rFonts w:hint="default" w:ascii="Times New Roman" w:hAnsi="Times New Roman" w:eastAsia="方正仿宋_GBK" w:cs="Times New Roman"/>
          <w:color w:val="000000" w:themeColor="text1"/>
          <w:sz w:val="32"/>
          <w:szCs w:val="32"/>
          <w:lang w:eastAsia="zh-CN"/>
          <w14:textFill>
            <w14:solidFill>
              <w14:schemeClr w14:val="tx1"/>
            </w14:solidFill>
          </w14:textFill>
        </w:rPr>
        <w:t>（表九）</w:t>
      </w:r>
    </w:p>
    <w:p w14:paraId="66361278">
      <w:p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3、绩效目标设置情况。202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年项目支出均实行了绩效目标管理，涉及一般公共预算当年财政拨款</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万元。</w:t>
      </w:r>
    </w:p>
    <w:p w14:paraId="2550CAE3">
      <w:pPr>
        <w:ind w:firstLine="640" w:firstLineChars="200"/>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4、国有资产占用使用情况。</w:t>
      </w:r>
      <w:r>
        <w:rPr>
          <w:rFonts w:hint="eastAsia" w:eastAsia="方正仿宋_GBK" w:cs="Times New Roman"/>
          <w:color w:val="000000" w:themeColor="text1"/>
          <w:sz w:val="32"/>
          <w:szCs w:val="32"/>
          <w:lang w:val="en-US" w:eastAsia="zh-CN"/>
          <w14:textFill>
            <w14:solidFill>
              <w14:schemeClr w14:val="tx1"/>
            </w14:solidFill>
          </w14:textFill>
        </w:rPr>
        <w:t>截至</w:t>
      </w:r>
      <w:r>
        <w:rPr>
          <w:rFonts w:hint="default" w:ascii="Times New Roman" w:hAnsi="Times New Roman" w:eastAsia="方正仿宋_GBK" w:cs="Times New Roman"/>
          <w:color w:val="000000" w:themeColor="text1"/>
          <w:sz w:val="32"/>
          <w:szCs w:val="32"/>
          <w14:textFill>
            <w14:solidFill>
              <w14:schemeClr w14:val="tx1"/>
            </w14:solidFill>
          </w14:textFill>
        </w:rPr>
        <w:t>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5</w:t>
      </w:r>
      <w:r>
        <w:rPr>
          <w:rFonts w:hint="default" w:ascii="Times New Roman" w:hAnsi="Times New Roman" w:eastAsia="方正仿宋_GBK" w:cs="Times New Roman"/>
          <w:color w:val="000000" w:themeColor="text1"/>
          <w:sz w:val="32"/>
          <w:szCs w:val="32"/>
          <w14:textFill>
            <w14:solidFill>
              <w14:schemeClr w14:val="tx1"/>
            </w14:solidFill>
          </w14:textFill>
        </w:rPr>
        <w:t>年12月，所属各预算单位共有车辆</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辆，其中一般公务用车</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辆、执勤执法用车</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辆。202</w:t>
      </w:r>
      <w:r>
        <w:rPr>
          <w:rFonts w:hint="default" w:ascii="Times New Roman" w:hAnsi="Times New Roman" w:eastAsia="方正仿宋_GBK" w:cs="Times New Roman"/>
          <w:color w:val="000000" w:themeColor="text1"/>
          <w:sz w:val="32"/>
          <w:szCs w:val="32"/>
          <w:lang w:val="en-US" w:eastAsia="zh-CN"/>
          <w14:textFill>
            <w14:solidFill>
              <w14:schemeClr w14:val="tx1"/>
            </w14:solidFill>
          </w14:textFill>
        </w:rPr>
        <w:t>6</w:t>
      </w:r>
      <w:r>
        <w:rPr>
          <w:rFonts w:hint="default" w:ascii="Times New Roman" w:hAnsi="Times New Roman" w:eastAsia="方正仿宋_GBK" w:cs="Times New Roman"/>
          <w:color w:val="000000" w:themeColor="text1"/>
          <w:sz w:val="32"/>
          <w:szCs w:val="32"/>
          <w14:textFill>
            <w14:solidFill>
              <w14:schemeClr w14:val="tx1"/>
            </w14:solidFill>
          </w14:textFill>
        </w:rPr>
        <w:t>年一般公共预算安排购置车辆</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辆，其中一般公务用车</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辆、执勤执法用车</w:t>
      </w:r>
      <w:r>
        <w:rPr>
          <w:rFonts w:hint="eastAsia" w:ascii="Times New Roman" w:hAnsi="Times New Roman" w:eastAsia="方正仿宋_GBK" w:cs="Times New Roman"/>
          <w:color w:val="000000" w:themeColor="text1"/>
          <w:sz w:val="32"/>
          <w:szCs w:val="32"/>
          <w:lang w:val="en-US" w:eastAsia="zh-CN"/>
          <w14:textFill>
            <w14:solidFill>
              <w14:schemeClr w14:val="tx1"/>
            </w14:solidFill>
          </w14:textFill>
        </w:rPr>
        <w:t>0</w:t>
      </w:r>
      <w:r>
        <w:rPr>
          <w:rFonts w:hint="default" w:ascii="Times New Roman" w:hAnsi="Times New Roman" w:eastAsia="方正仿宋_GBK" w:cs="Times New Roman"/>
          <w:color w:val="000000" w:themeColor="text1"/>
          <w:sz w:val="32"/>
          <w:szCs w:val="32"/>
          <w14:textFill>
            <w14:solidFill>
              <w14:schemeClr w14:val="tx1"/>
            </w14:solidFill>
          </w14:textFill>
        </w:rPr>
        <w:t>辆。</w:t>
      </w:r>
    </w:p>
    <w:p w14:paraId="6BAE94DE">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45"/>
        <w:jc w:val="both"/>
        <w:rPr>
          <w:rFonts w:hint="default" w:ascii="Times New Roman" w:hAnsi="Times New Roman" w:cs="Times New Roman"/>
          <w:i w:val="0"/>
          <w:iCs w:val="0"/>
          <w:caps w:val="0"/>
          <w:color w:val="000000" w:themeColor="text1"/>
          <w:spacing w:val="0"/>
          <w:sz w:val="21"/>
          <w:szCs w:val="21"/>
          <w14:textFill>
            <w14:solidFill>
              <w14:schemeClr w14:val="tx1"/>
            </w14:solidFill>
          </w14:textFill>
        </w:rPr>
      </w:pPr>
      <w:r>
        <w:rPr>
          <w:rFonts w:hint="eastAsia" w:ascii="方正黑体_GBK" w:hAnsi="方正黑体_GBK" w:eastAsia="方正黑体_GBK" w:cs="方正黑体_GBK"/>
          <w:i w:val="0"/>
          <w:iCs w:val="0"/>
          <w:caps w:val="0"/>
          <w:color w:val="000000" w:themeColor="text1"/>
          <w:spacing w:val="0"/>
          <w:sz w:val="31"/>
          <w:szCs w:val="31"/>
          <w:shd w:val="clear" w:color="auto" w:fill="FFFFFF"/>
          <w14:textFill>
            <w14:solidFill>
              <w14:schemeClr w14:val="tx1"/>
            </w14:solidFill>
          </w14:textFill>
        </w:rPr>
        <w:t>六、部门预算整体绩效目标编制情况及县级重点专项资金</w:t>
      </w:r>
      <w:bookmarkStart w:id="0" w:name="_GoBack"/>
      <w:bookmarkEnd w:id="0"/>
      <w:r>
        <w:rPr>
          <w:rFonts w:hint="eastAsia" w:ascii="方正黑体_GBK" w:hAnsi="方正黑体_GBK" w:eastAsia="方正黑体_GBK" w:cs="方正黑体_GBK"/>
          <w:i w:val="0"/>
          <w:iCs w:val="0"/>
          <w:caps w:val="0"/>
          <w:color w:val="000000" w:themeColor="text1"/>
          <w:spacing w:val="0"/>
          <w:sz w:val="31"/>
          <w:szCs w:val="31"/>
          <w:shd w:val="clear" w:color="auto" w:fill="FFFFFF"/>
          <w14:textFill>
            <w14:solidFill>
              <w14:schemeClr w14:val="tx1"/>
            </w14:solidFill>
          </w14:textFill>
        </w:rPr>
        <w:t>绩效目标编制情况。</w:t>
      </w:r>
    </w:p>
    <w:p w14:paraId="7E6F7357">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600" w:lineRule="atLeast"/>
        <w:ind w:left="0" w:right="0" w:firstLine="630"/>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本单位2025年部门预算整体绩效目标由巫溪县中梁乡人民政府统一填报公开。</w:t>
      </w:r>
    </w:p>
    <w:p w14:paraId="27E2806A">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pP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本单位</w:t>
      </w:r>
      <w:r>
        <w:rPr>
          <w:rFonts w:hint="default"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202</w:t>
      </w:r>
      <w:r>
        <w:rPr>
          <w:rFonts w:hint="eastAsia" w:ascii="Times New Roman" w:hAnsi="Times New Roman" w:eastAsia="方正仿宋_GBK" w:cs="Times New Roman"/>
          <w:color w:val="000000" w:themeColor="text1"/>
          <w:kern w:val="2"/>
          <w:sz w:val="32"/>
          <w:szCs w:val="32"/>
          <w:lang w:val="en-US" w:eastAsia="zh-CN" w:bidi="ar-SA"/>
          <w14:textFill>
            <w14:solidFill>
              <w14:schemeClr w14:val="tx1"/>
            </w14:solidFill>
          </w14:textFill>
        </w:rPr>
        <w:t>6年无县级重点专项资金。</w:t>
      </w:r>
    </w:p>
    <w:p w14:paraId="33768B41">
      <w:pPr>
        <w:pStyle w:val="5"/>
        <w:tabs>
          <w:tab w:val="center" w:pos="4153"/>
          <w:tab w:val="left" w:pos="7275"/>
        </w:tabs>
        <w:spacing w:line="600" w:lineRule="exact"/>
        <w:ind w:firstLine="640"/>
        <w:jc w:val="left"/>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七、专业性名词解释</w:t>
      </w:r>
    </w:p>
    <w:p w14:paraId="4CAF2197">
      <w:pPr>
        <w:pStyle w:val="5"/>
        <w:tabs>
          <w:tab w:val="center" w:pos="4153"/>
          <w:tab w:val="left" w:pos="7275"/>
        </w:tabs>
        <w:spacing w:line="600" w:lineRule="exact"/>
        <w:ind w:firstLine="640"/>
        <w:jc w:val="left"/>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（一）财政拨款收入：指本年度从本级财政部门取得的财政拨款，包括一般公共预算财政拨款和政府性基金预算财政拨款。</w:t>
      </w:r>
    </w:p>
    <w:p w14:paraId="2745A017">
      <w:pPr>
        <w:pStyle w:val="5"/>
        <w:tabs>
          <w:tab w:val="center" w:pos="4153"/>
          <w:tab w:val="left" w:pos="7275"/>
        </w:tabs>
        <w:spacing w:line="600" w:lineRule="exact"/>
        <w:ind w:firstLine="640"/>
        <w:jc w:val="left"/>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（二）其他收入：指单位取得的除“财政拨款收入”、“事业收入”、“经营收入”等以外的收入。</w:t>
      </w:r>
    </w:p>
    <w:p w14:paraId="266A0DBB">
      <w:pPr>
        <w:pStyle w:val="5"/>
        <w:tabs>
          <w:tab w:val="center" w:pos="4153"/>
          <w:tab w:val="left" w:pos="7275"/>
        </w:tabs>
        <w:spacing w:line="600" w:lineRule="exact"/>
        <w:ind w:firstLine="640"/>
        <w:jc w:val="left"/>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（三）基本支出：指为保障机构正常运转、完成日常工作任务而发生的人员经费和公用经费。</w:t>
      </w:r>
    </w:p>
    <w:p w14:paraId="57212ED6">
      <w:pPr>
        <w:pStyle w:val="5"/>
        <w:tabs>
          <w:tab w:val="center" w:pos="4153"/>
          <w:tab w:val="left" w:pos="7275"/>
        </w:tabs>
        <w:spacing w:line="600" w:lineRule="exact"/>
        <w:ind w:firstLine="640"/>
        <w:jc w:val="left"/>
        <w:rPr>
          <w:rFonts w:hint="default" w:ascii="Times New Roman" w:hAnsi="Times New Roman" w:eastAsia="方正仿宋_GBK" w:cs="Times New Roman"/>
          <w:color w:val="000000" w:themeColor="text1"/>
          <w:sz w:val="32"/>
          <w:szCs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（四）项目支出：指在基本支出之外为完成特定行政任务和事业发展目标所发生的支出。</w:t>
      </w:r>
    </w:p>
    <w:p w14:paraId="5F0C91D4">
      <w:pPr>
        <w:ind w:firstLine="640" w:firstLineChars="200"/>
        <w:rPr>
          <w:rFonts w:hint="default" w:ascii="Times New Roman" w:hAnsi="Times New Roman" w:eastAsia="仿宋_GB2312" w:cs="Times New Roman"/>
          <w:color w:val="000000" w:themeColor="text1"/>
          <w:sz w:val="32"/>
          <w14:textFill>
            <w14:solidFill>
              <w14:schemeClr w14:val="tx1"/>
            </w14:solidFill>
          </w14:textFill>
        </w:rPr>
      </w:pPr>
      <w:r>
        <w:rPr>
          <w:rFonts w:hint="default" w:ascii="Times New Roman" w:hAnsi="Times New Roman" w:eastAsia="方正仿宋_GBK" w:cs="Times New Roman"/>
          <w:color w:val="000000" w:themeColor="text1"/>
          <w:sz w:val="32"/>
          <w:szCs w:val="32"/>
          <w14:textFill>
            <w14:solidFill>
              <w14:schemeClr w14:val="tx1"/>
            </w14:solidFill>
          </w14:textFill>
        </w:rPr>
        <w:t>（五）“三公”经费：指用一般公共预算财政拨款安排的因公出国（境）费、公务用车购置及运行维护费、公务接待费。其中，因公出国（境）费反映单位公务出国（境）的国际旅费、国外城市间交通费、住宿费、伙食费、培训费、公杂费等支出；公务用车购置费反映单位公务用车购置支出（含车辆购置税）；公务用车运行维护费反映单位按规定保留的公务用车燃料费、维修费、过路过桥费、保险费、安全奖励费用等支出；公务接待费反映单位按规定开支的各类公务接待（含外宾接待）支出。</w:t>
      </w:r>
    </w:p>
    <w:p w14:paraId="1E131B49">
      <w:pPr>
        <w:rPr>
          <w:rFonts w:hint="default" w:ascii="Times New Roman" w:hAnsi="Times New Roman" w:eastAsia="仿宋_GB2312" w:cs="Times New Roman"/>
          <w:color w:val="000000" w:themeColor="text1"/>
          <w:sz w:val="32"/>
          <w14:textFill>
            <w14:solidFill>
              <w14:schemeClr w14:val="tx1"/>
            </w14:solidFill>
          </w14:textFill>
        </w:rPr>
      </w:pPr>
    </w:p>
    <w:p w14:paraId="58205FC6">
      <w:pPr>
        <w:ind w:firstLine="643" w:firstLineChars="200"/>
        <w:rPr>
          <w:rFonts w:hint="default" w:ascii="Times New Roman" w:hAnsi="Times New Roman" w:eastAsia="仿宋_GB2312" w:cs="Times New Roman"/>
          <w:b/>
          <w:color w:val="000000" w:themeColor="text1"/>
          <w:sz w:val="32"/>
          <w14:textFill>
            <w14:solidFill>
              <w14:schemeClr w14:val="tx1"/>
            </w14:solidFill>
          </w14:textFill>
        </w:rPr>
      </w:pPr>
      <w:r>
        <w:rPr>
          <w:rFonts w:hint="default" w:ascii="Times New Roman" w:hAnsi="Times New Roman" w:eastAsia="仿宋_GB2312" w:cs="Times New Roman"/>
          <w:b/>
          <w:color w:val="000000" w:themeColor="text1"/>
          <w:sz w:val="32"/>
          <w14:textFill>
            <w14:solidFill>
              <w14:schemeClr w14:val="tx1"/>
            </w14:solidFill>
          </w14:textFill>
        </w:rPr>
        <w:t>部门预算公开联系人：</w:t>
      </w:r>
      <w:r>
        <w:rPr>
          <w:rFonts w:hint="eastAsia" w:eastAsia="仿宋_GB2312" w:cs="Times New Roman"/>
          <w:b/>
          <w:color w:val="000000" w:themeColor="text1"/>
          <w:sz w:val="32"/>
          <w:lang w:val="en-US" w:eastAsia="zh-CN"/>
          <w14:textFill>
            <w14:solidFill>
              <w14:schemeClr w14:val="tx1"/>
            </w14:solidFill>
          </w14:textFill>
        </w:rPr>
        <w:t>谭星星</w:t>
      </w:r>
      <w:r>
        <w:rPr>
          <w:rFonts w:hint="default" w:ascii="Times New Roman" w:hAnsi="Times New Roman" w:eastAsia="仿宋_GB2312" w:cs="Times New Roman"/>
          <w:b/>
          <w:color w:val="000000" w:themeColor="text1"/>
          <w:sz w:val="32"/>
          <w14:textFill>
            <w14:solidFill>
              <w14:schemeClr w14:val="tx1"/>
            </w14:solidFill>
          </w14:textFill>
        </w:rPr>
        <w:t xml:space="preserve">  联系方式：  </w:t>
      </w:r>
      <w:r>
        <w:rPr>
          <w:rFonts w:hint="default" w:ascii="Times New Roman" w:hAnsi="Times New Roman" w:eastAsia="方正仿宋_GBK" w:cs="Times New Roman"/>
          <w:b/>
          <w:color w:val="000000" w:themeColor="text1"/>
          <w:sz w:val="32"/>
          <w14:textFill>
            <w14:solidFill>
              <w14:schemeClr w14:val="tx1"/>
            </w14:solidFill>
          </w14:textFill>
        </w:rPr>
        <w:t>（</w:t>
      </w:r>
      <w:r>
        <w:rPr>
          <w:rFonts w:hint="eastAsia" w:eastAsia="仿宋_GB2312" w:cs="Times New Roman"/>
          <w:b/>
          <w:color w:val="000000" w:themeColor="text1"/>
          <w:sz w:val="32"/>
          <w:lang w:val="en-US" w:eastAsia="zh-CN"/>
          <w14:textFill>
            <w14:solidFill>
              <w14:schemeClr w14:val="tx1"/>
            </w14:solidFill>
          </w14:textFill>
        </w:rPr>
        <w:t>谭星星</w:t>
      </w:r>
      <w:r>
        <w:rPr>
          <w:rFonts w:hint="default" w:ascii="Times New Roman" w:hAnsi="Times New Roman" w:eastAsia="方正仿宋_GBK" w:cs="Times New Roman"/>
          <w:b/>
          <w:color w:val="000000" w:themeColor="text1"/>
          <w:sz w:val="32"/>
          <w14:textFill>
            <w14:solidFill>
              <w14:schemeClr w14:val="tx1"/>
            </w14:solidFill>
          </w14:textFill>
        </w:rPr>
        <w:t>，电话：023-</w:t>
      </w:r>
      <w:r>
        <w:rPr>
          <w:rFonts w:hint="eastAsia" w:eastAsia="方正仿宋_GBK" w:cs="Times New Roman"/>
          <w:b/>
          <w:color w:val="000000" w:themeColor="text1"/>
          <w:sz w:val="32"/>
          <w:lang w:val="en-US" w:eastAsia="zh-CN"/>
          <w14:textFill>
            <w14:solidFill>
              <w14:schemeClr w14:val="tx1"/>
            </w14:solidFill>
          </w14:textFill>
        </w:rPr>
        <w:t>51417520</w:t>
      </w:r>
      <w:r>
        <w:rPr>
          <w:rFonts w:hint="default" w:ascii="Times New Roman" w:hAnsi="Times New Roman" w:eastAsia="方正仿宋_GBK" w:cs="Times New Roman"/>
          <w:b/>
          <w:color w:val="000000" w:themeColor="text1"/>
          <w:sz w:val="32"/>
          <w14:textFill>
            <w14:solidFill>
              <w14:schemeClr w14:val="tx1"/>
            </w14:solidFill>
          </w14:textFill>
        </w:rPr>
        <w:t>）</w:t>
      </w:r>
    </w:p>
    <w:p w14:paraId="22BE4AC3">
      <w:pPr>
        <w:rPr>
          <w:rFonts w:hint="eastAsia" w:ascii="方正仿宋_GBK" w:hAnsi="方正仿宋_GBK" w:eastAsia="方正仿宋_GBK" w:cs="方正仿宋_GBK"/>
          <w:i w:val="0"/>
          <w:iCs w:val="0"/>
          <w:caps w:val="0"/>
          <w:color w:val="000000" w:themeColor="text1"/>
          <w:spacing w:val="0"/>
          <w:sz w:val="31"/>
          <w:szCs w:val="31"/>
          <w:shd w:val="clear" w:color="auto" w:fill="FFFFFF"/>
          <w14:textFill>
            <w14:solidFill>
              <w14:schemeClr w14:val="tx1"/>
            </w14:solidFill>
          </w14:textFill>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altName w:val="宋体"/>
    <w:panose1 w:val="02010600040101010101"/>
    <w:charset w:val="86"/>
    <w:family w:val="auto"/>
    <w:pitch w:val="default"/>
    <w:sig w:usb0="00000000" w:usb1="00000000" w:usb2="00000000" w:usb3="00000000" w:csb0="0004009F" w:csb1="DFD70000"/>
  </w:font>
  <w:font w:name="方正小标宋">
    <w:altName w:val="宋体"/>
    <w:panose1 w:val="00000000000000000000"/>
    <w:charset w:val="00"/>
    <w:family w:val="auto"/>
    <w:pitch w:val="default"/>
    <w:sig w:usb0="00000000" w:usb1="00000000" w:usb2="00000000" w:usb3="00000000" w:csb0="00040001" w:csb1="00000000"/>
  </w:font>
  <w:font w:name="方正仿宋_GBK">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方正黑体_GBK">
    <w:panose1 w:val="03000509000000000000"/>
    <w:charset w:val="86"/>
    <w:family w:val="auto"/>
    <w:pitch w:val="default"/>
    <w:sig w:usb0="00000001" w:usb1="080E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47F1BC"/>
    <w:multiLevelType w:val="singleLevel"/>
    <w:tmpl w:val="5847F1BC"/>
    <w:lvl w:ilvl="0" w:tentative="0">
      <w:start w:val="1"/>
      <w:numFmt w:val="chineseCounting"/>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3E43BC0"/>
    <w:rsid w:val="1B521A26"/>
    <w:rsid w:val="552519E7"/>
    <w:rsid w:val="60764180"/>
    <w:rsid w:val="71DCB6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unhideWhenUsed/>
    <w:qFormat/>
    <w:uiPriority w:val="99"/>
    <w:pPr>
      <w:widowControl/>
      <w:spacing w:before="100" w:beforeAutospacing="1" w:after="100" w:afterAutospacing="1"/>
      <w:jc w:val="left"/>
    </w:pPr>
    <w:rPr>
      <w:rFonts w:ascii="宋体" w:hAnsi="宋体" w:cs="宋体"/>
      <w:kern w:val="0"/>
      <w:sz w:val="24"/>
      <w:szCs w:val="24"/>
    </w:r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1844</Words>
  <Characters>1999</Characters>
  <Lines>0</Lines>
  <Paragraphs>0</Paragraphs>
  <TotalTime>52</TotalTime>
  <ScaleCrop>false</ScaleCrop>
  <LinksUpToDate>false</LinksUpToDate>
  <CharactersWithSpaces>2003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温星星</cp:lastModifiedBy>
  <dcterms:modified xsi:type="dcterms:W3CDTF">2026-08-04T08:27:12Z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0CE88C32A6FB4EA02B31836965E3775B_42</vt:lpwstr>
  </property>
  <property fmtid="{D5CDD505-2E9C-101B-9397-08002B2CF9AE}" pid="4" name="KSOTemplateDocerSaveRecord">
    <vt:lpwstr>eyJoZGlkIjoiZDRlMTI0ZmZkNWVkNDk2ZTg4NWYwOTQyMjQxMmY4NGEiLCJ1c2VySWQiOiIxMzIzODcwMDMzIn0=</vt:lpwstr>
  </property>
</Properties>
</file>