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巫溪县青少年活动中心</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1.承担县委、县政府和有关方面委托的青少年工作事务，参与民主管理和民主监督。协助、参与、处理社会上与青少年利益相关的工作。</w:t>
      </w:r>
    </w:p>
    <w:p>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2.参与全县青少年法规制度实施、监督等工作，负责未成年人保护方面的日常工作。</w:t>
      </w:r>
    </w:p>
    <w:p>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3.调查青少年思想动态和青年工作情况，研究青年运动、青少年工作理论、青少年事业发展等工作，为县委、县政府决策提供依据。</w:t>
      </w:r>
    </w:p>
    <w:p>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4.负责全县共青团的组织建设，协助党组织管理、选拔和培训共青团干部，指导县青少年校外活动场所的工作。</w:t>
      </w:r>
    </w:p>
    <w:p>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5.负责、指导并组织面向全县青少年的思想理论教育、宣传文化活动、培养、选拔、推荐优秀青年。</w:t>
      </w:r>
    </w:p>
    <w:p>
      <w:pPr>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6.承担县委、县政府和团市委交办的其他工作。</w:t>
      </w:r>
    </w:p>
    <w:p>
      <w:pPr>
        <w:pStyle w:val="7"/>
        <w:shd w:val="clear" w:color="auto" w:fill="FFFFFF"/>
        <w:ind w:firstLine="420"/>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pStyle w:val="7"/>
        <w:shd w:val="clear" w:color="auto" w:fill="FFFFFF"/>
        <w:ind w:firstLine="42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巫溪县青少年活动中心是中国共产主义青年团巫溪县委员会的下属事业单位，暂无内设机构。</w:t>
      </w:r>
    </w:p>
    <w:p>
      <w:pPr>
        <w:pStyle w:val="7"/>
        <w:shd w:val="clear" w:color="auto" w:fill="FFFFFF"/>
        <w:ind w:firstLine="883" w:firstLineChars="275"/>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度收入总计123.00万元，支出总计</w:t>
      </w:r>
      <w:r>
        <w:rPr>
          <w:rFonts w:ascii="方正仿宋_GBK" w:hAnsi="方正仿宋_GBK" w:eastAsia="方正仿宋_GBK" w:cs="方正仿宋_GBK"/>
          <w:sz w:val="32"/>
          <w:szCs w:val="32"/>
        </w:rPr>
        <w:t>123.00</w:t>
      </w:r>
      <w:r>
        <w:rPr>
          <w:rFonts w:ascii="方正仿宋_GBK" w:hAnsi="方正仿宋_GBK" w:eastAsia="方正仿宋_GBK" w:cs="方正仿宋_GBK"/>
          <w:sz w:val="32"/>
          <w:szCs w:val="32"/>
          <w:shd w:val="clear" w:color="auto" w:fill="FFFFFF"/>
        </w:rPr>
        <w:t>万元。收、支与2023年度相比，增加123.00万元，增长100.0%，主要原因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度收入合计123.00万元，与2023年度相比，增加123.00万元，增长100.0%，主要原因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123.00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123.00</w:t>
      </w:r>
      <w:r>
        <w:rPr>
          <w:rFonts w:ascii="方正仿宋_GBK" w:hAnsi="方正仿宋_GBK" w:eastAsia="方正仿宋_GBK" w:cs="方正仿宋_GBK"/>
          <w:sz w:val="32"/>
          <w:szCs w:val="32"/>
          <w:shd w:val="clear" w:color="auto" w:fill="FFFFFF"/>
        </w:rPr>
        <w:t>万元，与2023年度相比，增加123.00万元，增长100.0%，主要原因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77.00</w:t>
      </w:r>
      <w:r>
        <w:rPr>
          <w:rFonts w:ascii="方正仿宋_GBK" w:hAnsi="方正仿宋_GBK" w:eastAsia="方正仿宋_GBK" w:cs="方正仿宋_GBK"/>
          <w:sz w:val="32"/>
          <w:szCs w:val="32"/>
          <w:shd w:val="clear" w:color="auto" w:fill="FFFFFF"/>
        </w:rPr>
        <w:t>万元，占62.60%；项目支出</w:t>
      </w:r>
      <w:r>
        <w:rPr>
          <w:rFonts w:ascii="方正仿宋_GBK" w:hAnsi="方正仿宋_GBK" w:eastAsia="方正仿宋_GBK" w:cs="方正仿宋_GBK"/>
          <w:sz w:val="32"/>
          <w:szCs w:val="32"/>
        </w:rPr>
        <w:t>46.00</w:t>
      </w:r>
      <w:r>
        <w:rPr>
          <w:rFonts w:ascii="方正仿宋_GBK" w:hAnsi="方正仿宋_GBK" w:eastAsia="方正仿宋_GBK" w:cs="方正仿宋_GBK"/>
          <w:sz w:val="32"/>
          <w:szCs w:val="32"/>
          <w:shd w:val="clear" w:color="auto" w:fill="FFFFFF"/>
        </w:rPr>
        <w:t>万元，占37.40%；经营支出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度年末结转和结余0.00万元，与2023年度相比，无增减</w:t>
      </w:r>
      <w:r>
        <w:rPr>
          <w:rFonts w:hint="eastAsia" w:ascii="方正仿宋_GBK" w:hAnsi="方正仿宋_GBK" w:eastAsia="方正仿宋_GBK" w:cs="方正仿宋_GBK"/>
          <w:sz w:val="32"/>
          <w:szCs w:val="32"/>
          <w:shd w:val="clear" w:color="auto" w:fill="FFFFFF"/>
          <w:lang w:val="en-US" w:eastAsia="zh-CN"/>
        </w:rPr>
        <w:t>,财政要求零结算。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度财政拨款收、支总计123.00万元。与202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年相比，财政拨款收、支总计各增加123.00万元，增长100.0%。主要原因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ind w:firstLine="643" w:firstLineChars="200"/>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77.00</w:t>
      </w:r>
      <w:r>
        <w:rPr>
          <w:rFonts w:ascii="方正仿宋_GBK" w:hAnsi="方正仿宋_GBK" w:eastAsia="方正仿宋_GBK" w:cs="方正仿宋_GBK"/>
          <w:sz w:val="32"/>
          <w:szCs w:val="32"/>
          <w:shd w:val="clear" w:color="auto" w:fill="FFFFFF"/>
        </w:rPr>
        <w:t>万元，与2023年度相比，增加77.00万元，增长100.0%。主要原因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7"/>
        <w:shd w:val="clear" w:color="auto" w:fill="FFFFFF"/>
        <w:ind w:firstLine="643" w:firstLineChars="200"/>
        <w:rPr>
          <w:rFonts w:hint="default"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77.00</w:t>
      </w:r>
      <w:r>
        <w:rPr>
          <w:rFonts w:ascii="方正仿宋_GBK" w:hAnsi="方正仿宋_GBK" w:eastAsia="方正仿宋_GBK" w:cs="方正仿宋_GBK"/>
          <w:sz w:val="32"/>
          <w:szCs w:val="32"/>
          <w:shd w:val="clear" w:color="auto" w:fill="FFFFFF"/>
        </w:rPr>
        <w:t>万元，与2023年度相比，增加77.00万元，增长100.0%。主要原因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val="en-US" w:eastAsia="zh-CN"/>
        </w:rPr>
        <w:t>2024年度年末一般公共预算财政拨款结转和结余0.00万元，与2023年度相比，无增减，财政要求零结算。</w:t>
      </w:r>
    </w:p>
    <w:p>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shd w:val="clear" w:color="auto" w:fill="FFFFFF"/>
        <w:ind w:firstLine="640" w:firstLineChars="200"/>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60.27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78.27</w:t>
      </w:r>
      <w:r>
        <w:rPr>
          <w:rFonts w:ascii="方正仿宋_GBK" w:hAnsi="方正仿宋_GBK" w:eastAsia="方正仿宋_GBK" w:cs="方正仿宋_GBK"/>
          <w:sz w:val="32"/>
          <w:szCs w:val="32"/>
          <w:shd w:val="clear" w:color="auto" w:fill="FFFFFF"/>
        </w:rPr>
        <w:t>%，较年初预算数减少10.83万元，下降15.2%，主要原因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p>
    <w:p>
      <w:pPr>
        <w:pStyle w:val="7"/>
        <w:shd w:val="clear" w:color="auto" w:fill="FFFFFF"/>
        <w:ind w:firstLine="640" w:firstLineChars="200"/>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8.77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11.39</w:t>
      </w:r>
      <w:r>
        <w:rPr>
          <w:rFonts w:ascii="方正仿宋_GBK" w:hAnsi="方正仿宋_GBK" w:eastAsia="方正仿宋_GBK" w:cs="方正仿宋_GBK"/>
          <w:sz w:val="32"/>
          <w:szCs w:val="32"/>
          <w:shd w:val="clear" w:color="auto" w:fill="FFFFFF"/>
        </w:rPr>
        <w:t>%，较年初预算数增加0.09万元，增长1.0%，主要原因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p>
    <w:p>
      <w:pPr>
        <w:pStyle w:val="7"/>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4.70</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p>
    <w:p>
      <w:pPr>
        <w:pStyle w:val="7"/>
        <w:shd w:val="clear" w:color="auto" w:fill="FFFFFF"/>
        <w:ind w:firstLine="640" w:firstLineChars="200"/>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）住房保障支出4.34万元，占5.64%，较年初预算数无增减</w:t>
      </w:r>
      <w:r>
        <w:rPr>
          <w:rFonts w:hint="eastAsia" w:ascii="方正仿宋_GBK" w:hAnsi="方正仿宋_GBK" w:eastAsia="方正仿宋_GBK" w:cs="方正仿宋_GBK"/>
          <w:sz w:val="32"/>
          <w:szCs w:val="32"/>
          <w:shd w:val="clear" w:color="auto" w:fill="FFFFFF"/>
          <w:lang w:eastAsia="zh-CN"/>
        </w:rPr>
        <w:t>，财政要求零结算。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77.00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65.85</w:t>
      </w:r>
      <w:r>
        <w:rPr>
          <w:rFonts w:ascii="方正仿宋_GBK" w:hAnsi="方正仿宋_GBK" w:eastAsia="方正仿宋_GBK" w:cs="方正仿宋_GBK"/>
          <w:sz w:val="32"/>
          <w:szCs w:val="32"/>
          <w:shd w:val="clear" w:color="auto" w:fill="FFFFFF"/>
        </w:rPr>
        <w:t>万元，与2023年度相比，增加65.85万元，增长100.0%，主要原因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人员经费指政府收支分类经济科目中的“工资福利支出”和“对个人和家庭的补助”</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11.15</w:t>
      </w:r>
      <w:r>
        <w:rPr>
          <w:rFonts w:ascii="方正仿宋_GBK" w:hAnsi="方正仿宋_GBK" w:eastAsia="方正仿宋_GBK" w:cs="方正仿宋_GBK"/>
          <w:sz w:val="32"/>
          <w:szCs w:val="32"/>
          <w:shd w:val="clear" w:color="auto" w:fill="FFFFFF"/>
        </w:rPr>
        <w:t>万元，与2023年度相比，增加11.15万元，增长100.0%，主要原因</w:t>
      </w:r>
      <w:r>
        <w:rPr>
          <w:rFonts w:hint="eastAsia" w:ascii="方正仿宋_GBK" w:hAnsi="方正仿宋_GBK" w:eastAsia="方正仿宋_GBK" w:cs="方正仿宋_GBK"/>
          <w:sz w:val="32"/>
          <w:szCs w:val="32"/>
          <w:shd w:val="clear" w:color="auto" w:fill="FFFFFF"/>
          <w:lang w:eastAsia="zh-CN"/>
        </w:rPr>
        <w:t>是本单位是</w:t>
      </w:r>
      <w:r>
        <w:rPr>
          <w:rFonts w:hint="eastAsia" w:ascii="方正仿宋_GBK" w:hAnsi="方正仿宋_GBK" w:eastAsia="方正仿宋_GBK" w:cs="方正仿宋_GBK"/>
          <w:sz w:val="32"/>
          <w:szCs w:val="32"/>
          <w:shd w:val="clear" w:color="auto" w:fill="FFFFFF"/>
          <w:lang w:val="en-US" w:eastAsia="zh-CN"/>
        </w:rPr>
        <w:t>2024年新增预算单位，无上年数。</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公务用车运行维护费反映单位按规定保留的公务用车燃料费、维修费、过路过桥费、保险费、安全奖励费用等支出；公务接待费反映单位按规定开支的各类公务接待（含外宾接待）支出。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46.00</w:t>
      </w:r>
      <w:r>
        <w:rPr>
          <w:rFonts w:ascii="方正仿宋_GBK" w:hAnsi="方正仿宋_GBK" w:eastAsia="方正仿宋_GBK" w:cs="方正仿宋_GBK"/>
          <w:sz w:val="32"/>
          <w:szCs w:val="32"/>
          <w:shd w:val="clear" w:color="auto" w:fill="FFFFFF"/>
        </w:rPr>
        <w:t>万元，与2023年度相比，增加46.00万元，增长100.0%，主要原因是</w:t>
      </w:r>
      <w:r>
        <w:rPr>
          <w:rFonts w:hint="eastAsia" w:ascii="方正仿宋_GBK" w:hAnsi="方正仿宋_GBK" w:eastAsia="方正仿宋_GBK" w:cs="方正仿宋_GBK"/>
          <w:sz w:val="32"/>
          <w:szCs w:val="32"/>
          <w:shd w:val="clear" w:color="auto" w:fill="FFFFFF"/>
          <w:lang w:eastAsia="zh-CN"/>
        </w:rPr>
        <w:t>本单位是</w:t>
      </w:r>
      <w:r>
        <w:rPr>
          <w:rFonts w:hint="eastAsia" w:ascii="方正仿宋_GBK" w:hAnsi="方正仿宋_GBK" w:eastAsia="方正仿宋_GBK" w:cs="方正仿宋_GBK"/>
          <w:sz w:val="32"/>
          <w:szCs w:val="32"/>
          <w:shd w:val="clear" w:color="auto" w:fill="FFFFFF"/>
          <w:lang w:val="en-US" w:eastAsia="zh-CN"/>
        </w:rPr>
        <w:t>2024年新增决算单位，无上年数。</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46.00</w:t>
      </w:r>
      <w:r>
        <w:rPr>
          <w:rFonts w:ascii="方正仿宋_GBK" w:hAnsi="方正仿宋_GBK" w:eastAsia="方正仿宋_GBK" w:cs="方正仿宋_GBK"/>
          <w:sz w:val="32"/>
          <w:szCs w:val="32"/>
          <w:shd w:val="clear" w:color="auto" w:fill="FFFFFF"/>
        </w:rPr>
        <w:t>万元，与2023年度相比，增加46.00万元，增长100.0%，主要原因是</w:t>
      </w:r>
      <w:r>
        <w:rPr>
          <w:rFonts w:hint="eastAsia" w:ascii="方正仿宋_GBK" w:hAnsi="方正仿宋_GBK" w:eastAsia="方正仿宋_GBK" w:cs="方正仿宋_GBK"/>
          <w:sz w:val="32"/>
          <w:szCs w:val="32"/>
          <w:shd w:val="clear" w:color="auto" w:fill="FFFFFF"/>
          <w:lang w:eastAsia="zh-CN"/>
        </w:rPr>
        <w:t>本单位是</w:t>
      </w:r>
      <w:r>
        <w:rPr>
          <w:rFonts w:hint="eastAsia" w:ascii="方正仿宋_GBK" w:hAnsi="方正仿宋_GBK" w:eastAsia="方正仿宋_GBK" w:cs="方正仿宋_GBK"/>
          <w:sz w:val="32"/>
          <w:szCs w:val="32"/>
          <w:shd w:val="clear" w:color="auto" w:fill="FFFFFF"/>
          <w:lang w:val="en-US" w:eastAsia="zh-CN"/>
        </w:rPr>
        <w:t>2024年新增决算单位，无上年数。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我单位属于团县委下属事业单位，三公经费与团县委预算没有分开，故财政未保障我单位三公经费。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万元，与2023年度相比，增加1.50万元，增长100.0%，主要原因是</w:t>
      </w:r>
      <w:r>
        <w:rPr>
          <w:rFonts w:hint="eastAsia" w:ascii="方正仿宋_GBK" w:hAnsi="方正仿宋_GBK" w:eastAsia="方正仿宋_GBK" w:cs="方正仿宋_GBK"/>
          <w:sz w:val="32"/>
          <w:szCs w:val="32"/>
          <w:shd w:val="clear" w:color="auto" w:fill="FFFFFF"/>
          <w:lang w:eastAsia="zh-CN"/>
        </w:rPr>
        <w:t>本单位是</w:t>
      </w:r>
      <w:r>
        <w:rPr>
          <w:rFonts w:hint="eastAsia" w:ascii="方正仿宋_GBK" w:hAnsi="方正仿宋_GBK" w:eastAsia="方正仿宋_GBK" w:cs="方正仿宋_GBK"/>
          <w:sz w:val="32"/>
          <w:szCs w:val="32"/>
          <w:shd w:val="clear" w:color="auto" w:fill="FFFFFF"/>
          <w:lang w:val="en-US" w:eastAsia="zh-CN"/>
        </w:rPr>
        <w:t>2024年新增决算单位，无上年数。</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我单位是</w:t>
      </w:r>
      <w:r>
        <w:rPr>
          <w:rFonts w:hint="eastAsia" w:ascii="方正仿宋_GBK" w:hAnsi="方正仿宋_GBK" w:eastAsia="方正仿宋_GBK" w:cs="方正仿宋_GBK"/>
          <w:sz w:val="32"/>
          <w:szCs w:val="32"/>
          <w:shd w:val="clear" w:color="auto" w:fill="FFFFFF"/>
          <w:lang w:val="en-US" w:eastAsia="zh-CN"/>
        </w:rPr>
        <w:t>中国共产主义青年团巫溪县委员会的下属事业单位，资产系统与中国共产主义青年团巫溪县委员会共用</w:t>
      </w:r>
      <w:r>
        <w:rPr>
          <w:rFonts w:hint="default"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因此</w:t>
      </w:r>
      <w:bookmarkStart w:id="0" w:name="_GoBack"/>
      <w:bookmarkEnd w:id="0"/>
      <w:r>
        <w:rPr>
          <w:rFonts w:hint="default" w:ascii="方正仿宋_GBK" w:hAnsi="方正仿宋_GBK" w:eastAsia="方正仿宋_GBK" w:cs="方正仿宋_GBK"/>
          <w:sz w:val="32"/>
          <w:szCs w:val="32"/>
          <w:shd w:val="clear" w:color="auto" w:fill="FFFFFF"/>
        </w:rPr>
        <w:t>我单位资产未纳入部门决算报表。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根据预算绩效管理要求，我部门（单位）对部门整体</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46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570" w:firstLineChars="8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8"/>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4"/>
        <w:gridCol w:w="444"/>
        <w:gridCol w:w="445"/>
        <w:gridCol w:w="1214"/>
        <w:gridCol w:w="451"/>
        <w:gridCol w:w="1689"/>
        <w:gridCol w:w="544"/>
        <w:gridCol w:w="1156"/>
        <w:gridCol w:w="465"/>
        <w:gridCol w:w="480"/>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1"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7"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巫溪县青少年校外教育专项资金--渝财综【2023】42号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50023824T000004295996</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8"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016-中国共产主义青年团巫溪县委员会</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005-行财科</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李红林</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联系电话：</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13677687085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全年（调整）预算数</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b/>
                <w:i w:val="0"/>
                <w:color w:val="000000"/>
                <w:kern w:val="0"/>
                <w:sz w:val="22"/>
                <w:szCs w:val="22"/>
                <w:u w:val="none"/>
                <w:lang w:val="en-US" w:eastAsia="zh-CN" w:bidi="ar"/>
              </w:rPr>
              <w:t>执行率权重</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4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260,000.00 </w:t>
            </w:r>
          </w:p>
        </w:tc>
        <w:tc>
          <w:tcPr>
            <w:tcW w:w="45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6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5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1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460,000.00 </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0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1" w:hRule="atLeast"/>
        </w:trPr>
        <w:tc>
          <w:tcPr>
            <w:tcW w:w="4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260,000.00 </w:t>
            </w:r>
          </w:p>
        </w:tc>
        <w:tc>
          <w:tcPr>
            <w:tcW w:w="45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6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5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1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460,000.00 </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10.00</w:t>
            </w:r>
          </w:p>
        </w:tc>
        <w:tc>
          <w:tcPr>
            <w:tcW w:w="10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4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0.00 </w:t>
            </w:r>
          </w:p>
        </w:tc>
        <w:tc>
          <w:tcPr>
            <w:tcW w:w="45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68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54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15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 xml:space="preserve">0.00 </w:t>
            </w:r>
          </w:p>
        </w:tc>
        <w:tc>
          <w:tcPr>
            <w:tcW w:w="4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tc>
        <w:tc>
          <w:tcPr>
            <w:tcW w:w="10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全年（调整）绩效目标</w:t>
            </w: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7"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充分发挥青少年校外教育场所实践育人作用，通过举办“学习二十大、永远跟党走、奋进新征程”主题教育实践、科技创新、非遗传承、安全自护等公益活动，引导青少年树立远大理想，自觉培育和践行社会主义核心价值观，坚定不移听党话、跟党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为落实“双减”政策要求，满足广大家长需求，助力缓解中小学生假期“看护难”问题，利用寒暑假举办公益托管班，为学生提供免费公益托管服务，优先吸收劳动模范子女、困难家庭学生、进城务工人员随迁子女、留守儿童等参加。</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pPr>
          </w:p>
        </w:tc>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充分发挥青少年校外教育场所实践育人作用，通过举办“学习二十大、永远跟党走、奋进新征程”主题教育实践、科技创新、非遗传承、安全自护等公益活动，引导青少年树立远大理想，自觉培育和践行社会主义核心价值观，坚定不移听党话、跟党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为落实“双减”政策要求，满足广大家长需求，助力缓解中小学生假期“看护难”问题，利用寒暑假举办公益托管班，为学生提供免费公益托管服务，优先吸收劳动模范子女、困难家庭学生、进城务工人员随迁子女、留守儿童等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1"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指标值</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全年完成值</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得分系数（%）</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指标得分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是否核心指标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8"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服务青少年人次</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5500</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5500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是</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3"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假期公益托管班服务人数</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否</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1"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假期公益托管班开展期数</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2</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否</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举办各项公益活动场数</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w:t>
            </w:r>
          </w:p>
        </w:tc>
        <w:tc>
          <w:tcPr>
            <w:tcW w:w="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11</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11</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right"/>
              <w:textAlignment w:val="cente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20" w:firstLineChars="100"/>
              <w:jc w:val="left"/>
              <w:textAlignment w:val="center"/>
            </w:pPr>
            <w:r>
              <w:rPr>
                <w:rFonts w:hint="eastAsia" w:ascii="宋体" w:hAnsi="宋体" w:eastAsia="宋体" w:cs="宋体"/>
                <w:i w:val="0"/>
                <w:color w:val="000000"/>
                <w:kern w:val="0"/>
                <w:sz w:val="22"/>
                <w:szCs w:val="22"/>
                <w:u w:val="none"/>
                <w:lang w:val="en-US" w:eastAsia="zh-CN" w:bidi="ar"/>
              </w:rPr>
              <w:t>否</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部门绩效评价情况</w:t>
      </w:r>
    </w:p>
    <w:p>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default" w:ascii="楷体" w:hAnsi="楷体" w:eastAsia="楷体" w:cs="楷体"/>
          <w:b/>
          <w:bCs/>
          <w:kern w:val="0"/>
          <w:sz w:val="32"/>
          <w:szCs w:val="32"/>
          <w:shd w:val="clear" w:fill="FFFFFF"/>
          <w:lang w:val="en-US" w:eastAsia="zh-CN"/>
        </w:rPr>
      </w:pPr>
      <w:r>
        <w:rPr>
          <w:rFonts w:hint="eastAsia" w:ascii="楷体" w:hAnsi="楷体" w:eastAsia="楷体" w:cs="楷体"/>
          <w:b/>
          <w:bCs/>
          <w:kern w:val="0"/>
          <w:sz w:val="32"/>
          <w:szCs w:val="32"/>
          <w:shd w:val="clear" w:fill="FFFFFF"/>
          <w:lang w:val="en-US" w:eastAsia="zh-CN"/>
        </w:rPr>
        <w:t xml:space="preserve">      </w:t>
      </w:r>
      <w:r>
        <w:rPr>
          <w:rFonts w:hint="eastAsia" w:ascii="方正仿宋_GBK" w:hAnsi="方正仿宋_GBK" w:eastAsia="方正仿宋_GBK" w:cs="方正仿宋_GBK"/>
          <w:kern w:val="0"/>
          <w:sz w:val="32"/>
          <w:szCs w:val="32"/>
          <w:shd w:val="clear" w:fill="FFFFFF"/>
          <w:lang w:val="en-US" w:eastAsia="zh-CN" w:bidi="ar"/>
        </w:rPr>
        <w:t>无</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960" w:firstLineChars="300"/>
        <w:textAlignment w:val="auto"/>
        <w:rPr>
          <w:rStyle w:val="10"/>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fill="FFFFFF"/>
          <w:lang w:eastAsia="zh-CN"/>
        </w:rPr>
        <w:t>无</w:t>
      </w: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lang w:val="en-US" w:eastAsia="zh-CN"/>
        </w:rPr>
        <w:t>023-51522079</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巫溪县青少年活动中心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123.00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123.00</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巫溪县青少年活动中心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123.00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123.00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巫溪县青少年活动中心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123.00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巫溪县青少年活动中心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巫溪县青少年活动中心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巫溪县青少年活动中心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65.85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11.15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巫溪县青少年活动中心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巫溪县青少年活动中心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巫溪县青少年活动中心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F19B2"/>
    <w:multiLevelType w:val="singleLevel"/>
    <w:tmpl w:val="6A3F19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E351D2"/>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04DA8"/>
    <w:rsid w:val="1CE157EE"/>
    <w:rsid w:val="1D014A01"/>
    <w:rsid w:val="1D022362"/>
    <w:rsid w:val="1DD26311"/>
    <w:rsid w:val="1EF67CA4"/>
    <w:rsid w:val="1FCD26AF"/>
    <w:rsid w:val="20642787"/>
    <w:rsid w:val="21556F04"/>
    <w:rsid w:val="22403BD3"/>
    <w:rsid w:val="22D3158D"/>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0865C38"/>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61486D"/>
    <w:rsid w:val="44A854C2"/>
    <w:rsid w:val="44DD597D"/>
    <w:rsid w:val="44F3739F"/>
    <w:rsid w:val="453164E8"/>
    <w:rsid w:val="465B470D"/>
    <w:rsid w:val="469D6AD4"/>
    <w:rsid w:val="47674801"/>
    <w:rsid w:val="48225EF7"/>
    <w:rsid w:val="495C4A24"/>
    <w:rsid w:val="4A93326F"/>
    <w:rsid w:val="4AD70EE7"/>
    <w:rsid w:val="4B7951CB"/>
    <w:rsid w:val="4B7C315C"/>
    <w:rsid w:val="4BAB7F90"/>
    <w:rsid w:val="4CA872C8"/>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7D2F85"/>
    <w:rsid w:val="68A97E4B"/>
    <w:rsid w:val="692172FD"/>
    <w:rsid w:val="6A3829EE"/>
    <w:rsid w:val="6B474EF5"/>
    <w:rsid w:val="6C560CAE"/>
    <w:rsid w:val="6D0615E4"/>
    <w:rsid w:val="6D903FF5"/>
    <w:rsid w:val="6DA955B8"/>
    <w:rsid w:val="6DE346AB"/>
    <w:rsid w:val="6F7F6A2D"/>
    <w:rsid w:val="6FB442D1"/>
    <w:rsid w:val="6FFB2E76"/>
    <w:rsid w:val="70F8236E"/>
    <w:rsid w:val="71C34D91"/>
    <w:rsid w:val="71ED38AA"/>
    <w:rsid w:val="720229AA"/>
    <w:rsid w:val="72797A3A"/>
    <w:rsid w:val="72DB435C"/>
    <w:rsid w:val="74EC2FF5"/>
    <w:rsid w:val="750837F0"/>
    <w:rsid w:val="764F62AB"/>
    <w:rsid w:val="765C45EC"/>
    <w:rsid w:val="768A7619"/>
    <w:rsid w:val="76E14979"/>
    <w:rsid w:val="77572AE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2025-09-16T03:37:49Z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