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p>
    <w:p>
      <w:pPr>
        <w:pStyle w:val="6"/>
        <w:keepNext w:val="0"/>
        <w:keepLines w:val="0"/>
        <w:pageBreakBefore w:val="0"/>
        <w:widowControl/>
        <w:kinsoku/>
        <w:wordWrap/>
        <w:overflowPunct/>
        <w:topLinePunct w:val="0"/>
        <w:autoSpaceDN/>
        <w:bidi w:val="0"/>
        <w:adjustRightInd/>
        <w:spacing w:before="0" w:beforeAutospacing="0" w:after="0" w:afterAutospacing="0" w:line="578" w:lineRule="exact"/>
        <w:jc w:val="center"/>
        <w:textAlignment w:val="auto"/>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巫溪县创建工作服务中心</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keepNext w:val="0"/>
        <w:keepLines w:val="0"/>
        <w:pageBreakBefore w:val="0"/>
        <w:kinsoku/>
        <w:wordWrap/>
        <w:overflowPunct/>
        <w:topLinePunct w:val="0"/>
        <w:autoSpaceDN/>
        <w:bidi w:val="0"/>
        <w:adjustRightInd/>
        <w:spacing w:line="578" w:lineRule="exact"/>
        <w:textAlignment w:val="auto"/>
        <w:rPr>
          <w:rStyle w:val="9"/>
          <w:rFonts w:ascii="黑体" w:hAnsi="黑体" w:eastAsia="黑体" w:cs="黑体"/>
          <w:sz w:val="32"/>
          <w:szCs w:val="32"/>
          <w:shd w:val="clear" w:color="auto" w:fill="FFFFFF"/>
        </w:rPr>
      </w:pPr>
    </w:p>
    <w:p>
      <w:pPr>
        <w:keepNext w:val="0"/>
        <w:keepLines w:val="0"/>
        <w:pageBreakBefore w:val="0"/>
        <w:kinsoku/>
        <w:wordWrap/>
        <w:overflowPunct/>
        <w:topLinePunct w:val="0"/>
        <w:autoSpaceDN/>
        <w:bidi w:val="0"/>
        <w:adjustRightInd/>
        <w:spacing w:line="578" w:lineRule="exact"/>
        <w:ind w:firstLine="643"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w:t>
      </w:r>
      <w:r>
        <w:rPr>
          <w:rFonts w:hint="eastAsia" w:ascii="方正黑体_GBK" w:hAnsi="方正黑体_GBK" w:eastAsia="方正黑体_GBK" w:cs="方正黑体_GBK"/>
          <w:b/>
          <w:bCs/>
          <w:sz w:val="32"/>
          <w:szCs w:val="32"/>
          <w:lang w:eastAsia="zh-CN"/>
        </w:rPr>
        <w:t>单位</w:t>
      </w:r>
      <w:r>
        <w:rPr>
          <w:rFonts w:hint="eastAsia" w:ascii="方正黑体_GBK" w:hAnsi="方正黑体_GBK" w:eastAsia="方正黑体_GBK" w:cs="方正黑体_GBK"/>
          <w:b/>
          <w:bCs/>
          <w:sz w:val="32"/>
          <w:szCs w:val="32"/>
        </w:rPr>
        <w:t>基本情况</w:t>
      </w:r>
    </w:p>
    <w:p>
      <w:pPr>
        <w:keepNext w:val="0"/>
        <w:keepLines w:val="0"/>
        <w:pageBreakBefore w:val="0"/>
        <w:kinsoku/>
        <w:wordWrap/>
        <w:overflowPunct/>
        <w:topLinePunct w:val="0"/>
        <w:autoSpaceDN/>
        <w:bidi w:val="0"/>
        <w:adjustRightInd/>
        <w:spacing w:line="578" w:lineRule="exact"/>
        <w:ind w:firstLine="643" w:firstLineChars="200"/>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ascii="方正仿宋_GBK" w:hAnsi="仿宋" w:eastAsia="方正仿宋_GBK"/>
          <w:sz w:val="32"/>
          <w:szCs w:val="32"/>
        </w:rPr>
      </w:pPr>
      <w:r>
        <w:rPr>
          <w:rFonts w:hint="eastAsia" w:ascii="方正仿宋_GBK" w:hAnsi="仿宋" w:eastAsia="方正仿宋_GBK"/>
          <w:sz w:val="32"/>
          <w:szCs w:val="32"/>
        </w:rPr>
        <w:t>巫溪县数字化城市运行和治理中心（以下简称县治理中心）整合县创建服务中心职能编制人员等资源，于2024年5月13日成立，5月2</w:t>
      </w:r>
      <w:r>
        <w:rPr>
          <w:rFonts w:hint="eastAsia" w:ascii="方正仿宋_GBK" w:hAnsi="仿宋" w:eastAsia="方正仿宋_GBK"/>
          <w:sz w:val="32"/>
          <w:szCs w:val="32"/>
          <w:lang w:val="en-US" w:eastAsia="zh-CN"/>
        </w:rPr>
        <w:t>4</w:t>
      </w:r>
      <w:r>
        <w:rPr>
          <w:rFonts w:hint="eastAsia" w:ascii="方正仿宋_GBK" w:hAnsi="仿宋" w:eastAsia="方正仿宋_GBK"/>
          <w:sz w:val="32"/>
          <w:szCs w:val="32"/>
        </w:rPr>
        <w:t>日挂牌，为县政府办公室所属正科级事业单位，中心位于林广大厦六楼，利用原城市管理执法支队办公楼改建而成，建筑面积</w:t>
      </w:r>
      <w:r>
        <w:rPr>
          <w:rFonts w:hint="eastAsia" w:ascii="方正仿宋_GBK" w:hAnsi="仿宋" w:eastAsia="方正仿宋_GBK"/>
          <w:sz w:val="32"/>
          <w:szCs w:val="32"/>
          <w:lang w:val="en-US" w:eastAsia="zh-CN"/>
        </w:rPr>
        <w:t>430</w:t>
      </w:r>
      <w:r>
        <w:rPr>
          <w:rFonts w:hint="eastAsia" w:ascii="方正仿宋_GBK" w:hAnsi="仿宋" w:eastAsia="方正仿宋_GBK"/>
          <w:sz w:val="32"/>
          <w:szCs w:val="32"/>
        </w:rPr>
        <w:t>㎡，指挥大厅设领导指挥席位7个、20个工作席位。</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eastAsia" w:ascii="方正仿宋_GBK" w:hAnsi="仿宋" w:eastAsia="方正仿宋_GBK"/>
          <w:sz w:val="32"/>
          <w:szCs w:val="32"/>
        </w:rPr>
      </w:pPr>
      <w:r>
        <w:rPr>
          <w:rFonts w:hint="eastAsia" w:ascii="方正仿宋_GBK" w:hAnsi="仿宋" w:eastAsia="方正仿宋_GBK"/>
          <w:sz w:val="32"/>
          <w:szCs w:val="32"/>
        </w:rPr>
        <w:t>巫溪县数字化城市运行和治理中心对照</w:t>
      </w:r>
      <w:r>
        <w:rPr>
          <w:rFonts w:hint="eastAsia" w:ascii="方正仿宋_GBK" w:hAnsi="仿宋" w:eastAsia="方正仿宋_GBK"/>
          <w:sz w:val="32"/>
          <w:szCs w:val="32"/>
          <w:lang w:eastAsia="zh-CN"/>
        </w:rPr>
        <w:t>“</w:t>
      </w:r>
      <w:r>
        <w:rPr>
          <w:rFonts w:hint="eastAsia" w:ascii="方正仿宋_GBK" w:hAnsi="仿宋" w:eastAsia="方正仿宋_GBK"/>
          <w:sz w:val="32"/>
          <w:szCs w:val="32"/>
        </w:rPr>
        <w:t>实战枢纽”定位，发挥上下贯通、横向协同、系统集成作用，是县委、县政府推进数字重庆建设落实落地的支撑系统，是公共安全、群体性事件、生产事故、重大舆情等任务、事件、事项高效处置的主阵地。主要职责是：</w:t>
      </w:r>
    </w:p>
    <w:p>
      <w:pPr>
        <w:keepNext w:val="0"/>
        <w:keepLines w:val="0"/>
        <w:pageBreakBefore w:val="0"/>
        <w:widowControl w:val="0"/>
        <w:kinsoku/>
        <w:wordWrap/>
        <w:overflowPunct/>
        <w:topLinePunct w:val="0"/>
        <w:autoSpaceDE/>
        <w:autoSpaceDN/>
        <w:bidi w:val="0"/>
        <w:adjustRightInd/>
        <w:snapToGrid w:val="0"/>
        <w:spacing w:beforeAutospacing="0" w:afterAutospacing="0" w:line="578" w:lineRule="exact"/>
        <w:ind w:firstLine="640" w:firstLineChars="200"/>
        <w:textAlignment w:val="auto"/>
        <w:rPr>
          <w:rFonts w:hint="eastAsia" w:ascii="方正仿宋_GBK" w:hAnsi="仿宋" w:eastAsia="方正仿宋_GBK"/>
          <w:sz w:val="32"/>
          <w:szCs w:val="32"/>
        </w:rPr>
      </w:pPr>
      <w:r>
        <w:rPr>
          <w:rFonts w:hint="eastAsia" w:ascii="方正仿宋_GBK" w:hAnsi="仿宋" w:eastAsia="方正仿宋_GBK"/>
          <w:sz w:val="32"/>
          <w:szCs w:val="32"/>
          <w:lang w:val="en-US" w:eastAsia="zh-CN"/>
        </w:rPr>
        <w:t>1.</w:t>
      </w:r>
      <w:r>
        <w:rPr>
          <w:rFonts w:hint="eastAsia" w:ascii="方正仿宋_GBK" w:hAnsi="仿宋" w:eastAsia="方正仿宋_GBK"/>
          <w:sz w:val="32"/>
          <w:szCs w:val="32"/>
        </w:rPr>
        <w:t>承接市级应用，完成市级数字化城市运行和治理中心下达的业务事项数字化任务；</w:t>
      </w:r>
    </w:p>
    <w:p>
      <w:pPr>
        <w:spacing w:before="101" w:line="288" w:lineRule="auto"/>
        <w:ind w:right="166" w:firstLine="640" w:firstLineChars="200"/>
        <w:rPr>
          <w:rFonts w:hint="eastAsia" w:ascii="方正仿宋_GBK" w:hAnsi="仿宋" w:eastAsia="方正仿宋_GBK"/>
          <w:sz w:val="32"/>
          <w:szCs w:val="32"/>
        </w:rPr>
      </w:pPr>
      <w:r>
        <w:rPr>
          <w:rFonts w:hint="eastAsia" w:ascii="方正仿宋_GBK" w:hAnsi="仿宋" w:eastAsia="方正仿宋_GBK"/>
          <w:sz w:val="32"/>
          <w:szCs w:val="32"/>
          <w:lang w:val="en-US" w:eastAsia="zh-CN"/>
        </w:rPr>
        <w:t>2.</w:t>
      </w:r>
      <w:r>
        <w:rPr>
          <w:rFonts w:hint="eastAsia" w:ascii="方正仿宋_GBK" w:hAnsi="仿宋" w:eastAsia="方正仿宋_GBK"/>
          <w:sz w:val="32"/>
          <w:szCs w:val="32"/>
        </w:rPr>
        <w:t>建设本级特色应用，推动城市治理和运行领域迭代集成，推动本级业务事项、事件梳理和数字化，统筹党建统领、设 施运行、生产生活服务、生态景观、社会治理、应急动员、文明 创建七大板块工作；</w:t>
      </w:r>
    </w:p>
    <w:p>
      <w:pPr>
        <w:spacing w:before="101" w:line="288" w:lineRule="auto"/>
        <w:ind w:right="166" w:firstLine="640" w:firstLineChars="200"/>
        <w:rPr>
          <w:rFonts w:hint="eastAsia" w:ascii="方正仿宋_GBK" w:hAnsi="仿宋" w:eastAsia="方正仿宋_GBK"/>
          <w:sz w:val="32"/>
          <w:szCs w:val="32"/>
        </w:rPr>
      </w:pPr>
      <w:r>
        <w:rPr>
          <w:rFonts w:hint="eastAsia" w:ascii="方正仿宋_GBK" w:hAnsi="仿宋" w:eastAsia="方正仿宋_GBK"/>
          <w:sz w:val="32"/>
          <w:szCs w:val="32"/>
          <w:lang w:val="en-US" w:eastAsia="zh-CN"/>
        </w:rPr>
        <w:t>3.</w:t>
      </w:r>
      <w:r>
        <w:rPr>
          <w:rFonts w:hint="eastAsia" w:ascii="方正仿宋_GBK" w:hAnsi="仿宋" w:eastAsia="方正仿宋_GBK"/>
          <w:sz w:val="32"/>
          <w:szCs w:val="32"/>
        </w:rPr>
        <w:t>支撑上传下达、监测预警、快速响应、评价问效，实现平时保障城市高效运行、紧急突发事件高效协同处置；</w:t>
      </w:r>
    </w:p>
    <w:p>
      <w:pPr>
        <w:spacing w:before="101" w:line="288" w:lineRule="auto"/>
        <w:ind w:right="166" w:firstLine="640" w:firstLineChars="200"/>
        <w:rPr>
          <w:rFonts w:hint="eastAsia" w:ascii="方正仿宋_GBK" w:hAnsi="仿宋" w:eastAsia="方正仿宋_GBK"/>
          <w:sz w:val="32"/>
          <w:szCs w:val="32"/>
        </w:rPr>
      </w:pPr>
      <w:r>
        <w:rPr>
          <w:rFonts w:hint="eastAsia" w:ascii="方正仿宋_GBK" w:hAnsi="仿宋" w:eastAsia="方正仿宋_GBK"/>
          <w:sz w:val="32"/>
          <w:szCs w:val="32"/>
          <w:lang w:val="en-US" w:eastAsia="zh-CN"/>
        </w:rPr>
        <w:t>4.</w:t>
      </w:r>
      <w:r>
        <w:rPr>
          <w:rFonts w:hint="eastAsia" w:ascii="方正仿宋_GBK" w:hAnsi="仿宋" w:eastAsia="方正仿宋_GBK"/>
          <w:sz w:val="32"/>
          <w:szCs w:val="32"/>
        </w:rPr>
        <w:t>统筹本级业务部门应用集成和业务贯通，统筹本级业务部门按权责完成任务事件闭环处置，指导基层治理中心建设。</w:t>
      </w:r>
    </w:p>
    <w:p>
      <w:pPr>
        <w:spacing w:before="101" w:line="288" w:lineRule="auto"/>
        <w:ind w:right="166" w:firstLine="640" w:firstLineChars="200"/>
        <w:rPr>
          <w:rFonts w:hint="default" w:ascii="方正仿宋_GBK" w:hAnsi="方正仿宋_GBK" w:eastAsia="方正仿宋_GBK" w:cs="方正仿宋_GBK"/>
          <w:sz w:val="32"/>
          <w:szCs w:val="32"/>
        </w:rPr>
      </w:pPr>
      <w:r>
        <w:rPr>
          <w:rFonts w:hint="eastAsia" w:ascii="方正仿宋_GBK" w:hAnsi="仿宋" w:eastAsia="方正仿宋_GBK"/>
          <w:sz w:val="32"/>
          <w:szCs w:val="32"/>
          <w:lang w:val="en-US" w:eastAsia="zh-CN"/>
        </w:rPr>
        <w:t>5.</w:t>
      </w:r>
      <w:r>
        <w:rPr>
          <w:rFonts w:hint="eastAsia" w:ascii="方正仿宋_GBK" w:hAnsi="仿宋" w:eastAsia="方正仿宋_GBK"/>
          <w:sz w:val="32"/>
          <w:szCs w:val="32"/>
        </w:rPr>
        <w:t>完成县政府办公室交办的其他任务。</w:t>
      </w:r>
    </w:p>
    <w:p>
      <w:pPr>
        <w:keepNext w:val="0"/>
        <w:keepLines w:val="0"/>
        <w:pageBreakBefore w:val="0"/>
        <w:kinsoku/>
        <w:wordWrap/>
        <w:overflowPunct/>
        <w:topLinePunct w:val="0"/>
        <w:autoSpaceDN/>
        <w:bidi w:val="0"/>
        <w:adjustRightInd/>
        <w:spacing w:line="578" w:lineRule="exact"/>
        <w:ind w:firstLine="643" w:firstLineChars="200"/>
        <w:textAlignment w:val="auto"/>
        <w:rPr>
          <w:rStyle w:val="9"/>
          <w:rFonts w:ascii="楷体" w:hAnsi="楷体" w:eastAsia="楷体" w:cs="楷体"/>
          <w:sz w:val="32"/>
          <w:szCs w:val="32"/>
          <w:shd w:val="clear" w:color="auto" w:fill="FFFFFF"/>
        </w:rPr>
      </w:pPr>
      <w:r>
        <w:rPr>
          <w:rStyle w:val="9"/>
          <w:rFonts w:ascii="楷体" w:hAnsi="楷体" w:eastAsia="楷体" w:cs="楷体"/>
          <w:sz w:val="32"/>
          <w:szCs w:val="32"/>
          <w:shd w:val="clear" w:color="auto" w:fill="FFFFFF"/>
        </w:rPr>
        <w:t>（</w:t>
      </w:r>
      <w:r>
        <w:rPr>
          <w:rStyle w:val="9"/>
          <w:rFonts w:hint="eastAsia" w:ascii="楷体" w:hAnsi="楷体" w:eastAsia="楷体" w:cs="楷体"/>
          <w:sz w:val="32"/>
          <w:szCs w:val="32"/>
          <w:shd w:val="clear" w:color="auto" w:fill="FFFFFF"/>
          <w:lang w:eastAsia="zh-CN"/>
        </w:rPr>
        <w:t>二</w:t>
      </w:r>
      <w:r>
        <w:rPr>
          <w:rStyle w:val="9"/>
          <w:rFonts w:ascii="楷体" w:hAnsi="楷体" w:eastAsia="楷体" w:cs="楷体"/>
          <w:sz w:val="32"/>
          <w:szCs w:val="32"/>
          <w:shd w:val="clear" w:color="auto" w:fill="FFFFFF"/>
        </w:rPr>
        <w:t>）机构设置</w:t>
      </w:r>
    </w:p>
    <w:p>
      <w:pPr>
        <w:pStyle w:val="13"/>
        <w:keepNext w:val="0"/>
        <w:keepLines w:val="0"/>
        <w:pageBreakBefore w:val="0"/>
        <w:widowControl w:val="0"/>
        <w:tabs>
          <w:tab w:val="center" w:pos="4153"/>
          <w:tab w:val="left" w:pos="7275"/>
        </w:tabs>
        <w:kinsoku/>
        <w:wordWrap/>
        <w:overflowPunct/>
        <w:topLinePunct w:val="0"/>
        <w:autoSpaceDE/>
        <w:autoSpaceDN/>
        <w:bidi w:val="0"/>
        <w:adjustRightInd/>
        <w:snapToGrid/>
        <w:spacing w:before="0" w:beforeAutospacing="0" w:afterAutospacing="0" w:line="578" w:lineRule="exact"/>
        <w:ind w:left="0" w:leftChars="0" w:right="0"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1.县治理中心内设综合科、督查科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数智城管科、</w:t>
      </w:r>
      <w:r>
        <w:rPr>
          <w:rFonts w:hint="default" w:ascii="Times New Roman" w:hAnsi="Times New Roman" w:eastAsia="方正仿宋_GBK" w:cs="Times New Roman"/>
          <w:sz w:val="32"/>
          <w:szCs w:val="32"/>
          <w:lang w:eastAsia="zh-CN"/>
        </w:rPr>
        <w:t>创建科</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个科室</w:t>
      </w:r>
    </w:p>
    <w:p>
      <w:pPr>
        <w:keepNext w:val="0"/>
        <w:keepLines w:val="0"/>
        <w:pageBreakBefore w:val="0"/>
        <w:kinsoku/>
        <w:wordWrap/>
        <w:overflowPunct/>
        <w:topLinePunct w:val="0"/>
        <w:autoSpaceDE/>
        <w:autoSpaceDN/>
        <w:bidi w:val="0"/>
        <w:adjustRightInd/>
        <w:snapToGrid/>
        <w:spacing w:line="578"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综合科。参与制定并实施数字化城市管理中长期规划和年度计划，牵头制定创建工作总体方案和年度实施方案；负责文秘、档案、会务、人事、财务、后勤等相关工作；承担党务、群团及相关工作。</w:t>
      </w:r>
    </w:p>
    <w:p>
      <w:pPr>
        <w:keepNext w:val="0"/>
        <w:keepLines w:val="0"/>
        <w:pageBreakBefore w:val="0"/>
        <w:kinsoku/>
        <w:wordWrap/>
        <w:overflowPunct/>
        <w:topLinePunct w:val="0"/>
        <w:autoSpaceDE/>
        <w:autoSpaceDN/>
        <w:bidi w:val="0"/>
        <w:adjustRightInd/>
        <w:snapToGrid/>
        <w:spacing w:line="578"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督查科。承担城区网格管理相关工作，协调、督导各 创建责任单位实施创建工作，督促专项整治和重难点整治相关工作，协调督促多跨协同事项处置；对各乡镇</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街道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、县级单位</w:t>
      </w:r>
      <w:r>
        <w:rPr>
          <w:rFonts w:hint="default" w:ascii="Times New Roman" w:hAnsi="Times New Roman" w:eastAsia="方正仿宋_GBK" w:cs="Times New Roman"/>
          <w:spacing w:val="10"/>
          <w:sz w:val="32"/>
          <w:szCs w:val="32"/>
        </w:rPr>
        <w:t>展数智城管和创建工作任务完成情况进行综合考评，承担督查等</w:t>
      </w:r>
      <w:r>
        <w:rPr>
          <w:rFonts w:hint="default" w:ascii="Times New Roman" w:hAnsi="Times New Roman" w:eastAsia="方正仿宋_GBK" w:cs="Times New Roman"/>
          <w:spacing w:val="4"/>
          <w:sz w:val="32"/>
          <w:szCs w:val="32"/>
        </w:rPr>
        <w:t>具体工作。</w:t>
      </w:r>
    </w:p>
    <w:p>
      <w:pPr>
        <w:keepNext w:val="0"/>
        <w:keepLines w:val="0"/>
        <w:pageBreakBefore w:val="0"/>
        <w:kinsoku/>
        <w:wordWrap/>
        <w:overflowPunct/>
        <w:topLinePunct w:val="0"/>
        <w:autoSpaceDE/>
        <w:autoSpaceDN/>
        <w:bidi w:val="0"/>
        <w:adjustRightInd/>
        <w:snapToGrid/>
        <w:spacing w:line="578" w:lineRule="exact"/>
        <w:ind w:right="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数智城管科。</w:t>
      </w:r>
      <w:r>
        <w:rPr>
          <w:rFonts w:hint="default" w:ascii="Times New Roman" w:hAnsi="Times New Roman" w:eastAsia="方正仿宋_GBK" w:cs="Times New Roman"/>
          <w:spacing w:val="18"/>
          <w:sz w:val="32"/>
          <w:szCs w:val="32"/>
        </w:rPr>
        <w:t>承接市级应用，完成市级数字化城市运</w:t>
      </w:r>
      <w:r>
        <w:rPr>
          <w:rFonts w:hint="default" w:ascii="Times New Roman" w:hAnsi="Times New Roman" w:eastAsia="方正仿宋_GBK" w:cs="Times New Roman"/>
          <w:spacing w:val="9"/>
          <w:sz w:val="32"/>
          <w:szCs w:val="32"/>
        </w:rPr>
        <w:t>行和治理中心下达的业务事项数字化任务；</w:t>
      </w:r>
      <w:r>
        <w:rPr>
          <w:rFonts w:hint="default" w:ascii="Times New Roman" w:hAnsi="Times New Roman" w:eastAsia="方正仿宋_GBK" w:cs="Times New Roman"/>
          <w:spacing w:val="8"/>
          <w:sz w:val="32"/>
          <w:szCs w:val="32"/>
        </w:rPr>
        <w:t>建设本级特色应用，</w:t>
      </w:r>
      <w:r>
        <w:rPr>
          <w:rFonts w:hint="default" w:ascii="Times New Roman" w:hAnsi="Times New Roman" w:eastAsia="方正仿宋_GBK" w:cs="Times New Roman"/>
          <w:spacing w:val="10"/>
          <w:sz w:val="32"/>
          <w:szCs w:val="32"/>
        </w:rPr>
        <w:t>推动城市治理和运行领域迭代集成，推动本级业务事项、事件梳</w:t>
      </w:r>
      <w:r>
        <w:rPr>
          <w:rFonts w:hint="default" w:ascii="Times New Roman" w:hAnsi="Times New Roman" w:eastAsia="方正仿宋_GBK" w:cs="Times New Roman"/>
          <w:spacing w:val="8"/>
          <w:sz w:val="32"/>
          <w:szCs w:val="32"/>
        </w:rPr>
        <w:t xml:space="preserve">  </w:t>
      </w:r>
      <w:r>
        <w:rPr>
          <w:rFonts w:hint="default" w:ascii="Times New Roman" w:hAnsi="Times New Roman" w:eastAsia="方正仿宋_GBK" w:cs="Times New Roman"/>
          <w:spacing w:val="10"/>
          <w:sz w:val="32"/>
          <w:szCs w:val="32"/>
        </w:rPr>
        <w:t>理和数字化；统筹本级业务部门应用集成和业务贯通，统筹本级</w:t>
      </w:r>
      <w:r>
        <w:rPr>
          <w:rFonts w:hint="default" w:ascii="Times New Roman" w:hAnsi="Times New Roman" w:eastAsia="方正仿宋_GBK" w:cs="Times New Roman"/>
          <w:spacing w:val="5"/>
          <w:sz w:val="32"/>
          <w:szCs w:val="32"/>
        </w:rPr>
        <w:t>业务部门按权责完成任务事件闭环处置，指导基层治理中心建设；</w:t>
      </w:r>
      <w:r>
        <w:rPr>
          <w:rFonts w:hint="default" w:ascii="Times New Roman" w:hAnsi="Times New Roman" w:eastAsia="方正仿宋_GBK" w:cs="Times New Roman"/>
          <w:spacing w:val="10"/>
          <w:sz w:val="32"/>
          <w:szCs w:val="32"/>
        </w:rPr>
        <w:t>支撑上传下达、监测预警、快速响应、评价</w:t>
      </w:r>
      <w:r>
        <w:rPr>
          <w:rFonts w:hint="default" w:ascii="Times New Roman" w:hAnsi="Times New Roman" w:eastAsia="方正仿宋_GBK" w:cs="Times New Roman"/>
          <w:spacing w:val="9"/>
          <w:sz w:val="32"/>
          <w:szCs w:val="32"/>
        </w:rPr>
        <w:t>问效，实现平时保障</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pacing w:val="8"/>
          <w:sz w:val="32"/>
          <w:szCs w:val="32"/>
        </w:rPr>
        <w:t>城市高效运行、紧急突发事件高效协同处置。</w:t>
      </w:r>
    </w:p>
    <w:p>
      <w:pPr>
        <w:pStyle w:val="13"/>
        <w:keepNext w:val="0"/>
        <w:keepLines w:val="0"/>
        <w:pageBreakBefore w:val="0"/>
        <w:widowControl w:val="0"/>
        <w:tabs>
          <w:tab w:val="center" w:pos="4153"/>
          <w:tab w:val="left" w:pos="7275"/>
        </w:tabs>
        <w:kinsoku/>
        <w:wordWrap/>
        <w:overflowPunct/>
        <w:topLinePunct w:val="0"/>
        <w:autoSpaceDE/>
        <w:autoSpaceDN/>
        <w:bidi w:val="0"/>
        <w:adjustRightInd/>
        <w:snapToGrid/>
        <w:spacing w:before="0" w:beforeAutospacing="0" w:afterAutospacing="0" w:line="578" w:lineRule="exact"/>
        <w:ind w:right="0" w:firstLine="64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pacing w:val="18"/>
          <w:kern w:val="0"/>
          <w:sz w:val="32"/>
          <w:szCs w:val="32"/>
          <w:lang w:val="en-US" w:eastAsia="zh-CN" w:bidi="ar-SA"/>
        </w:rPr>
        <w:t>（4）创建科。策划、组织、协调开展全县网格活动和群众 性创建活动。负责宣传信息工作，统筹社会各界参与创建，营造全民参与创建的浓厚氛围。</w:t>
      </w:r>
    </w:p>
    <w:p>
      <w:pPr>
        <w:pStyle w:val="13"/>
        <w:keepNext w:val="0"/>
        <w:keepLines w:val="0"/>
        <w:pageBreakBefore w:val="0"/>
        <w:widowControl w:val="0"/>
        <w:tabs>
          <w:tab w:val="center" w:pos="4153"/>
          <w:tab w:val="left" w:pos="7275"/>
        </w:tabs>
        <w:kinsoku/>
        <w:wordWrap/>
        <w:overflowPunct/>
        <w:topLinePunct w:val="0"/>
        <w:autoSpaceDE/>
        <w:autoSpaceDN/>
        <w:bidi w:val="0"/>
        <w:adjustRightInd/>
        <w:snapToGrid/>
        <w:spacing w:before="0" w:beforeAutospacing="0" w:afterAutospacing="0" w:line="578" w:lineRule="exact"/>
        <w:ind w:right="0" w:firstLine="64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2.人员编制和领导职数。</w:t>
      </w:r>
    </w:p>
    <w:p>
      <w:pPr>
        <w:keepNext w:val="0"/>
        <w:keepLines w:val="0"/>
        <w:pageBreakBefore w:val="0"/>
        <w:kinsoku/>
        <w:wordWrap/>
        <w:overflowPunct/>
        <w:topLinePunct w:val="0"/>
        <w:autoSpaceDE/>
        <w:autoSpaceDN/>
        <w:bidi w:val="0"/>
        <w:adjustRightInd/>
        <w:snapToGrid/>
        <w:spacing w:line="578" w:lineRule="exact"/>
        <w:ind w:right="0" w:firstLine="640" w:firstLineChars="200"/>
        <w:textAlignment w:val="auto"/>
        <w:rPr>
          <w:rFonts w:hint="default" w:ascii="方正仿宋_GBK" w:hAnsi="宋体" w:eastAsia="方正仿宋_GBK" w:cs="宋体"/>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县治理中心事业编制</w:t>
      </w:r>
      <w:r>
        <w:rPr>
          <w:rFonts w:hint="eastAsia" w:ascii="Times New Roman" w:hAnsi="Times New Roman" w:eastAsia="方正仿宋_GBK" w:cs="Times New Roman"/>
          <w:kern w:val="0"/>
          <w:sz w:val="32"/>
          <w:szCs w:val="32"/>
          <w:lang w:val="en-US" w:eastAsia="zh-CN" w:bidi="ar"/>
        </w:rPr>
        <w:t>1</w:t>
      </w:r>
      <w:r>
        <w:rPr>
          <w:rFonts w:hint="default" w:ascii="Times New Roman" w:hAnsi="Times New Roman" w:eastAsia="方正仿宋_GBK" w:cs="Times New Roman"/>
          <w:kern w:val="0"/>
          <w:sz w:val="32"/>
          <w:szCs w:val="32"/>
          <w:lang w:val="en-US" w:eastAsia="zh-CN" w:bidi="ar"/>
        </w:rPr>
        <w:t>7名。设主任1名、副主任2名，内设机构领导职数共</w:t>
      </w:r>
      <w:r>
        <w:rPr>
          <w:rFonts w:hint="eastAsia" w:ascii="Times New Roman" w:hAnsi="Times New Roman" w:eastAsia="方正仿宋_GBK" w:cs="Times New Roman"/>
          <w:kern w:val="0"/>
          <w:sz w:val="32"/>
          <w:szCs w:val="32"/>
          <w:lang w:val="en-US" w:eastAsia="zh-CN" w:bidi="ar"/>
        </w:rPr>
        <w:t>4</w:t>
      </w:r>
      <w:r>
        <w:rPr>
          <w:rFonts w:hint="default" w:ascii="Times New Roman" w:hAnsi="Times New Roman" w:eastAsia="方正仿宋_GBK" w:cs="Times New Roman"/>
          <w:kern w:val="0"/>
          <w:sz w:val="32"/>
          <w:szCs w:val="32"/>
          <w:lang w:val="en-US" w:eastAsia="zh-CN" w:bidi="ar"/>
        </w:rPr>
        <w:t>名。</w:t>
      </w:r>
    </w:p>
    <w:p>
      <w:pPr>
        <w:keepNext w:val="0"/>
        <w:keepLines w:val="0"/>
        <w:pageBreakBefore w:val="0"/>
        <w:kinsoku/>
        <w:wordWrap/>
        <w:overflowPunct/>
        <w:topLinePunct w:val="0"/>
        <w:autoSpaceDN/>
        <w:bidi w:val="0"/>
        <w:adjustRightInd/>
        <w:spacing w:line="578" w:lineRule="exact"/>
        <w:ind w:firstLine="643" w:firstLineChars="200"/>
        <w:textAlignment w:val="auto"/>
        <w:rPr>
          <w:rFonts w:hint="default" w:ascii="方正仿宋_GBK" w:hAnsi="方正仿宋_GBK" w:eastAsia="方正仿宋_GBK" w:cs="方正仿宋_GBK"/>
          <w:sz w:val="32"/>
          <w:szCs w:val="32"/>
        </w:rPr>
      </w:pPr>
      <w:r>
        <w:rPr>
          <w:rStyle w:val="9"/>
          <w:rFonts w:ascii="黑体" w:hAnsi="黑体" w:eastAsia="黑体" w:cs="黑体"/>
          <w:sz w:val="32"/>
          <w:szCs w:val="32"/>
          <w:shd w:val="clear" w:color="auto" w:fill="FFFFFF"/>
        </w:rPr>
        <w:t>二、</w:t>
      </w:r>
      <w:r>
        <w:rPr>
          <w:rStyle w:val="9"/>
          <w:rFonts w:hint="eastAsia" w:ascii="黑体" w:hAnsi="黑体" w:eastAsia="黑体" w:cs="黑体"/>
          <w:sz w:val="32"/>
          <w:szCs w:val="32"/>
          <w:shd w:val="clear" w:color="auto" w:fill="FFFFFF"/>
          <w:lang w:eastAsia="zh-CN"/>
        </w:rPr>
        <w:t>单位</w:t>
      </w:r>
      <w:r>
        <w:rPr>
          <w:rStyle w:val="9"/>
          <w:rFonts w:ascii="黑体" w:hAnsi="黑体" w:eastAsia="黑体" w:cs="黑体"/>
          <w:sz w:val="32"/>
          <w:szCs w:val="32"/>
          <w:shd w:val="clear" w:color="auto" w:fill="FFFFFF"/>
        </w:rPr>
        <w:t>决算</w:t>
      </w:r>
      <w:r>
        <w:rPr>
          <w:rStyle w:val="9"/>
          <w:rFonts w:hint="eastAsia" w:ascii="黑体" w:hAnsi="黑体" w:eastAsia="黑体" w:cs="黑体"/>
          <w:sz w:val="32"/>
          <w:szCs w:val="32"/>
          <w:shd w:val="clear" w:color="auto" w:fill="FFFFFF"/>
          <w:lang w:eastAsia="zh-CN"/>
        </w:rPr>
        <w:t>收支</w:t>
      </w:r>
      <w:r>
        <w:rPr>
          <w:rStyle w:val="9"/>
          <w:rFonts w:ascii="黑体" w:hAnsi="黑体" w:eastAsia="黑体" w:cs="黑体"/>
          <w:sz w:val="32"/>
          <w:szCs w:val="32"/>
          <w:shd w:val="clear" w:color="auto" w:fill="FFFFFF"/>
        </w:rPr>
        <w:t>情况说明</w:t>
      </w:r>
    </w:p>
    <w:p>
      <w:pPr>
        <w:pStyle w:val="10"/>
        <w:keepNext w:val="0"/>
        <w:keepLines w:val="0"/>
        <w:pageBreakBefore w:val="0"/>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keepNext w:val="0"/>
        <w:keepLines w:val="0"/>
        <w:pageBreakBefore w:val="0"/>
        <w:kinsoku/>
        <w:wordWrap/>
        <w:overflowPunct/>
        <w:topLinePunct w:val="0"/>
        <w:autoSpaceDN/>
        <w:bidi w:val="0"/>
        <w:adjustRightInd/>
        <w:spacing w:line="578"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度收入总计306.15万元，支出总计</w:t>
      </w:r>
      <w:r>
        <w:rPr>
          <w:rFonts w:ascii="方正仿宋_GBK" w:hAnsi="方正仿宋_GBK" w:eastAsia="方正仿宋_GBK" w:cs="方正仿宋_GBK"/>
          <w:sz w:val="32"/>
          <w:szCs w:val="32"/>
        </w:rPr>
        <w:t>306.15</w:t>
      </w:r>
      <w:r>
        <w:rPr>
          <w:rFonts w:ascii="方正仿宋_GBK" w:hAnsi="方正仿宋_GBK" w:eastAsia="方正仿宋_GBK" w:cs="方正仿宋_GBK"/>
          <w:sz w:val="32"/>
          <w:szCs w:val="32"/>
          <w:shd w:val="clear" w:color="auto" w:fill="FFFFFF"/>
        </w:rPr>
        <w:t>万元。收、支与2023年度相比，增加306.15万元，增长100.0%，主要原因是本单位是2024年新增单位，无上年数，所以增减比例较高。</w:t>
      </w:r>
    </w:p>
    <w:p>
      <w:pPr>
        <w:keepNext w:val="0"/>
        <w:keepLines w:val="0"/>
        <w:pageBreakBefore w:val="0"/>
        <w:kinsoku/>
        <w:wordWrap/>
        <w:overflowPunct/>
        <w:topLinePunct w:val="0"/>
        <w:autoSpaceDN/>
        <w:bidi w:val="0"/>
        <w:adjustRightInd/>
        <w:spacing w:line="578"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度收入合计306.15万元，与2023年度相比，增加306.15万元，增长100.0%，主要原因是本单位是2024年新增单位，无上年数，所以增减比例较高。其中：财政拨款收入</w:t>
      </w:r>
      <w:r>
        <w:rPr>
          <w:rFonts w:ascii="方正仿宋_GBK" w:hAnsi="方正仿宋_GBK" w:eastAsia="方正仿宋_GBK" w:cs="方正仿宋_GBK"/>
          <w:sz w:val="32"/>
          <w:szCs w:val="32"/>
        </w:rPr>
        <w:t>306.15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keepNext w:val="0"/>
        <w:keepLines w:val="0"/>
        <w:pageBreakBefore w:val="0"/>
        <w:kinsoku/>
        <w:wordWrap/>
        <w:overflowPunct/>
        <w:topLinePunct w:val="0"/>
        <w:autoSpaceDN/>
        <w:bidi w:val="0"/>
        <w:adjustRightInd/>
        <w:spacing w:line="578" w:lineRule="exact"/>
        <w:ind w:firstLine="643" w:firstLineChars="200"/>
        <w:textAlignment w:val="auto"/>
        <w:rPr>
          <w:rFonts w:hint="default"/>
        </w:rPr>
      </w:pPr>
      <w:r>
        <w:rPr>
          <w:rStyle w:val="9"/>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306.15万元，与2023年度相比，增加306.15万元，增长100.0%，主要原因是本单位是2024年新增单位，无上年数，所以增减比例较高。其中：基本支出51.19万元，占16.72%；项目支出254.96万元，占83.28%；经营支出0.00万元，占0.00%。此外，结余分配0.00万元。</w:t>
      </w:r>
    </w:p>
    <w:p>
      <w:pPr>
        <w:keepNext w:val="0"/>
        <w:keepLines w:val="0"/>
        <w:pageBreakBefore w:val="0"/>
        <w:kinsoku/>
        <w:wordWrap/>
        <w:overflowPunct/>
        <w:topLinePunct w:val="0"/>
        <w:autoSpaceDN/>
        <w:bidi w:val="0"/>
        <w:adjustRightInd/>
        <w:spacing w:line="578" w:lineRule="exact"/>
        <w:ind w:firstLine="643" w:firstLineChars="200"/>
        <w:textAlignment w:val="auto"/>
        <w:rPr>
          <w:rFonts w:hint="default" w:ascii="方正仿宋_GBK" w:hAnsi="方正仿宋_GBK" w:eastAsia="方正仿宋_GBK" w:cs="方正仿宋_GBK"/>
          <w:szCs w:val="32"/>
          <w:shd w:val="clear" w:color="auto" w:fill="FFFFFF"/>
        </w:rPr>
      </w:pPr>
      <w:r>
        <w:rPr>
          <w:rStyle w:val="9"/>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度年末结转和结余0.00万元，与2023年度相比，无增减，主要原因是本单位是2024年新增单位，无上年数。</w:t>
      </w:r>
    </w:p>
    <w:p>
      <w:pPr>
        <w:pStyle w:val="10"/>
        <w:keepNext w:val="0"/>
        <w:keepLines w:val="0"/>
        <w:pageBreakBefore w:val="0"/>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keepNext w:val="0"/>
        <w:keepLines w:val="0"/>
        <w:pageBreakBefore w:val="0"/>
        <w:kinsoku/>
        <w:wordWrap/>
        <w:overflowPunct/>
        <w:topLinePunct w:val="0"/>
        <w:autoSpaceDN/>
        <w:bidi w:val="0"/>
        <w:adjustRightInd/>
        <w:spacing w:line="578"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度财政拨款收、支总计306.15万元。与202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年相比，财政拨款收、支总计各增加306.15万元，增长100.0%。主要原因是本单位是2024年新增单位，无上年数，所以增减比例较高。</w:t>
      </w:r>
    </w:p>
    <w:p>
      <w:pPr>
        <w:pStyle w:val="10"/>
        <w:keepNext w:val="0"/>
        <w:keepLines w:val="0"/>
        <w:pageBreakBefore w:val="0"/>
        <w:kinsoku/>
        <w:wordWrap/>
        <w:overflowPunct/>
        <w:topLinePunct w:val="0"/>
        <w:autoSpaceDE w:val="0"/>
        <w:autoSpaceDN/>
        <w:bidi w:val="0"/>
        <w:adjustRightInd/>
        <w:spacing w:line="578" w:lineRule="exact"/>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keepNext w:val="0"/>
        <w:keepLines w:val="0"/>
        <w:pageBreakBefore w:val="0"/>
        <w:kinsoku/>
        <w:wordWrap/>
        <w:overflowPunct/>
        <w:topLinePunct w:val="0"/>
        <w:autoSpaceDN/>
        <w:bidi w:val="0"/>
        <w:adjustRightInd/>
        <w:spacing w:line="578" w:lineRule="exact"/>
        <w:ind w:firstLine="643" w:firstLineChars="200"/>
        <w:textAlignment w:val="auto"/>
        <w:rPr>
          <w:rFonts w:hint="default" w:ascii="方正仿宋_GBK" w:hAnsi="方正仿宋_GBK" w:eastAsia="方正仿宋_GBK" w:cs="方正仿宋_GBK"/>
          <w:sz w:val="32"/>
          <w:szCs w:val="32"/>
        </w:rPr>
      </w:pPr>
      <w:r>
        <w:rPr>
          <w:rStyle w:val="9"/>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306.15</w:t>
      </w:r>
      <w:r>
        <w:rPr>
          <w:rFonts w:ascii="方正仿宋_GBK" w:hAnsi="方正仿宋_GBK" w:eastAsia="方正仿宋_GBK" w:cs="方正仿宋_GBK"/>
          <w:sz w:val="32"/>
          <w:szCs w:val="32"/>
          <w:shd w:val="clear" w:color="auto" w:fill="FFFFFF"/>
        </w:rPr>
        <w:t>万元，与2023年度相比，增加306.15万元，增长100.0%。主要原因是本单位是2024年新增单位，无上年数，所以增减比例较高。较年初预算数增加255.15万元，增长500.3%。主要原因是本单位是2024年新增单位，无上年数，所以增减比例较高。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keepNext w:val="0"/>
        <w:keepLines w:val="0"/>
        <w:pageBreakBefore w:val="0"/>
        <w:kinsoku/>
        <w:wordWrap/>
        <w:overflowPunct/>
        <w:topLinePunct w:val="0"/>
        <w:autoSpaceDN/>
        <w:bidi w:val="0"/>
        <w:adjustRightInd/>
        <w:spacing w:line="578"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306.15</w:t>
      </w:r>
      <w:r>
        <w:rPr>
          <w:rFonts w:ascii="方正仿宋_GBK" w:hAnsi="方正仿宋_GBK" w:eastAsia="方正仿宋_GBK" w:cs="方正仿宋_GBK"/>
          <w:sz w:val="32"/>
          <w:szCs w:val="32"/>
          <w:shd w:val="clear" w:color="auto" w:fill="FFFFFF"/>
        </w:rPr>
        <w:t>万元，与2023年度相比，增加306.15万元，增长100.0%。主要原因是本单位是2024年新增单位，无上年数，所以增减比例较高。</w:t>
      </w:r>
    </w:p>
    <w:p>
      <w:pPr>
        <w:keepNext w:val="0"/>
        <w:keepLines w:val="0"/>
        <w:pageBreakBefore w:val="0"/>
        <w:kinsoku/>
        <w:wordWrap/>
        <w:overflowPunct/>
        <w:topLinePunct w:val="0"/>
        <w:autoSpaceDN/>
        <w:bidi w:val="0"/>
        <w:adjustRightInd/>
        <w:spacing w:line="578" w:lineRule="exact"/>
        <w:ind w:firstLine="640" w:firstLineChars="200"/>
        <w:textAlignment w:val="auto"/>
        <w:rPr>
          <w:rFonts w:hint="default"/>
        </w:rPr>
      </w:pPr>
      <w:r>
        <w:rPr>
          <w:rFonts w:ascii="方正仿宋_GBK" w:hAnsi="方正仿宋_GBK" w:eastAsia="方正仿宋_GBK" w:cs="方正仿宋_GBK"/>
          <w:sz w:val="32"/>
          <w:szCs w:val="32"/>
          <w:shd w:val="clear" w:color="auto" w:fill="FFFFFF"/>
        </w:rPr>
        <w:t>较年初预算数增加255.15万元，增长500.3%。主要原因是本单位是2024年新增单位，无上年数，所以增减比例较高。</w:t>
      </w:r>
    </w:p>
    <w:p>
      <w:pPr>
        <w:keepNext w:val="0"/>
        <w:keepLines w:val="0"/>
        <w:pageBreakBefore w:val="0"/>
        <w:kinsoku/>
        <w:wordWrap/>
        <w:overflowPunct/>
        <w:topLinePunct w:val="0"/>
        <w:autoSpaceDN/>
        <w:bidi w:val="0"/>
        <w:adjustRightInd/>
        <w:spacing w:line="578" w:lineRule="exact"/>
        <w:ind w:firstLine="643" w:firstLineChars="200"/>
        <w:textAlignment w:val="auto"/>
        <w:rPr>
          <w:rFonts w:hint="default"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万元，与2023年度相比，无增减，主要原因是本单位是2024年新增单位，无上年数。</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9"/>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keepNext w:val="0"/>
        <w:keepLines w:val="0"/>
        <w:pageBreakBefore w:val="0"/>
        <w:kinsoku/>
        <w:wordWrap/>
        <w:overflowPunct/>
        <w:topLinePunct w:val="0"/>
        <w:autoSpaceDN/>
        <w:bidi w:val="0"/>
        <w:adjustRightInd/>
        <w:spacing w:line="578"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295.96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96.67</w:t>
      </w:r>
      <w:r>
        <w:rPr>
          <w:rFonts w:ascii="方正仿宋_GBK" w:hAnsi="方正仿宋_GBK" w:eastAsia="方正仿宋_GBK" w:cs="方正仿宋_GBK"/>
          <w:sz w:val="32"/>
          <w:szCs w:val="32"/>
          <w:shd w:val="clear" w:color="auto" w:fill="FFFFFF"/>
        </w:rPr>
        <w:t>%，较年初预算数增加255.18万元，增长625.8%，主要原因是本单位是2024年新增单位，无上年数，所以增减比例较高。</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5.33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1.74</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2.20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0.72</w:t>
      </w:r>
      <w:r>
        <w:rPr>
          <w:rFonts w:ascii="方正仿宋_GBK" w:hAnsi="方正仿宋_GBK" w:eastAsia="方正仿宋_GBK" w:cs="方正仿宋_GBK"/>
          <w:sz w:val="32"/>
          <w:szCs w:val="32"/>
          <w:shd w:val="clear" w:color="auto" w:fill="FFFFFF"/>
        </w:rPr>
        <w:t>%，较年初预算数减少0.02万元，下降0.9%，主要原因是</w:t>
      </w:r>
      <w:r>
        <w:rPr>
          <w:rFonts w:hint="eastAsia" w:ascii="方正仿宋_GBK" w:hAnsi="方正仿宋_GBK" w:eastAsia="方正仿宋_GBK" w:cs="方正仿宋_GBK"/>
          <w:sz w:val="32"/>
          <w:szCs w:val="32"/>
          <w:shd w:val="clear" w:color="auto" w:fill="FFFFFF"/>
          <w:lang w:eastAsia="zh-CN"/>
        </w:rPr>
        <w:t>一方面是</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落实政府“过紧日子”要求，压减非急需、非刚性支出，厉行节约；另一方面是因为人员编制减少导致人员经费减少，减少“三公”经费等开支</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pPr>
        <w:keepNext w:val="0"/>
        <w:keepLines w:val="0"/>
        <w:pageBreakBefore w:val="0"/>
        <w:kinsoku/>
        <w:wordWrap/>
        <w:overflowPunct/>
        <w:topLinePunct w:val="0"/>
        <w:autoSpaceDN/>
        <w:bidi w:val="0"/>
        <w:adjustRightInd/>
        <w:spacing w:line="578" w:lineRule="exact"/>
        <w:ind w:firstLine="640" w:firstLineChars="200"/>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0.87</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val="en-US" w:eastAsia="zh-CN"/>
        </w:rPr>
        <w:t>主要是本单位按照财政相关文件要求，严格执行年初预算</w:t>
      </w:r>
      <w:r>
        <w:rPr>
          <w:rFonts w:ascii="方正仿宋_GBK" w:hAnsi="方正仿宋_GBK" w:eastAsia="方正仿宋_GBK" w:cs="方正仿宋_GBK"/>
          <w:color w:val="auto"/>
          <w:sz w:val="32"/>
          <w:szCs w:val="32"/>
          <w:shd w:val="clear" w:color="auto" w:fill="FFFFFF"/>
        </w:rPr>
        <w:t>。</w:t>
      </w:r>
    </w:p>
    <w:p>
      <w:pPr>
        <w:pStyle w:val="10"/>
        <w:keepNext w:val="0"/>
        <w:keepLines w:val="0"/>
        <w:pageBreakBefore w:val="0"/>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51.19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49.23</w:t>
      </w:r>
      <w:r>
        <w:rPr>
          <w:rFonts w:ascii="方正仿宋_GBK" w:hAnsi="方正仿宋_GBK" w:eastAsia="方正仿宋_GBK" w:cs="方正仿宋_GBK"/>
          <w:sz w:val="32"/>
          <w:szCs w:val="32"/>
          <w:shd w:val="clear" w:color="auto" w:fill="FFFFFF"/>
        </w:rPr>
        <w:t>万元，与2023年度相比，增加49.23万元，增长100.0%，主要原因是本单位是2024年新增单位，无上年数，所以增减比例较高。人员经费用途主要包括</w:t>
      </w:r>
      <w:r>
        <w:rPr>
          <w:rFonts w:hint="eastAsia" w:ascii="方正仿宋_GBK" w:hAnsi="方正仿宋_GBK" w:eastAsia="方正仿宋_GBK" w:cs="方正仿宋_GBK"/>
          <w:color w:val="auto"/>
          <w:sz w:val="32"/>
          <w:szCs w:val="32"/>
        </w:rPr>
        <w:t>基本工资、津贴补贴、奖金、绩效工资、机关事业单位基本养老保险费、职业年金缴费、职工基本医疗保险缴费、其他社会保障缴费、住房公积金、对个人和家庭的补助中的生活补助以及医疗费补助</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1.96</w:t>
      </w:r>
      <w:r>
        <w:rPr>
          <w:rFonts w:ascii="方正仿宋_GBK" w:hAnsi="方正仿宋_GBK" w:eastAsia="方正仿宋_GBK" w:cs="方正仿宋_GBK"/>
          <w:sz w:val="32"/>
          <w:szCs w:val="32"/>
          <w:shd w:val="clear" w:color="auto" w:fill="FFFFFF"/>
        </w:rPr>
        <w:t>万元，与2023年度相比，增加1.96万元，增长100.0%，主要原因是本单位是2024年新增单位，无上年数，所以增减比例较高。公用经费用途主要包括</w:t>
      </w:r>
      <w:r>
        <w:rPr>
          <w:rFonts w:hint="eastAsia" w:ascii="方正仿宋_GBK" w:hAnsi="方正仿宋_GBK" w:eastAsia="方正仿宋_GBK" w:cs="方正仿宋_GBK"/>
          <w:color w:val="auto"/>
          <w:sz w:val="32"/>
          <w:szCs w:val="32"/>
        </w:rPr>
        <w:t>办公费、印刷费、水费、电费、邮电费、物业管理费、差旅费、维修（护）费、会议费、培训费、公务接待费、劳务费、工会经费、福利费、公务用车运行维护费、其他交通费用、其他商品和服务支出。</w:t>
      </w:r>
    </w:p>
    <w:p>
      <w:pPr>
        <w:pStyle w:val="10"/>
        <w:keepNext w:val="0"/>
        <w:keepLines w:val="0"/>
        <w:pageBreakBefore w:val="0"/>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本单位2024年度无政府性基金预算财政拨款收支。</w:t>
      </w:r>
    </w:p>
    <w:p>
      <w:pPr>
        <w:pStyle w:val="10"/>
        <w:keepNext w:val="0"/>
        <w:keepLines w:val="0"/>
        <w:pageBreakBefore w:val="0"/>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color w:val="auto"/>
          <w:sz w:val="32"/>
          <w:szCs w:val="32"/>
          <w:lang w:val="en-US" w:eastAsia="zh-CN" w:bidi="ar-SA"/>
        </w:rPr>
      </w:pPr>
      <w:r>
        <w:rPr>
          <w:rFonts w:hint="eastAsia" w:ascii="方正仿宋_GBK" w:hAnsi="方正仿宋_GBK" w:eastAsia="方正仿宋_GBK" w:cs="方正仿宋_GBK"/>
          <w:color w:val="auto"/>
          <w:sz w:val="32"/>
          <w:szCs w:val="32"/>
          <w:lang w:val="en-US" w:eastAsia="zh-CN" w:bidi="ar-SA"/>
        </w:rPr>
        <w:t> 本单位2024年度无国有资本经营预算财政拨款支出。</w:t>
      </w:r>
    </w:p>
    <w:p>
      <w:pPr>
        <w:keepNext w:val="0"/>
        <w:keepLines w:val="0"/>
        <w:pageBreakBefore w:val="0"/>
        <w:numPr>
          <w:ilvl w:val="0"/>
          <w:numId w:val="1"/>
        </w:numPr>
        <w:kinsoku/>
        <w:wordWrap/>
        <w:overflowPunct/>
        <w:topLinePunct w:val="0"/>
        <w:autoSpaceDN/>
        <w:bidi w:val="0"/>
        <w:adjustRightInd/>
        <w:spacing w:line="578" w:lineRule="exact"/>
        <w:ind w:firstLine="643" w:firstLineChars="200"/>
        <w:textAlignment w:val="auto"/>
        <w:rPr>
          <w:rStyle w:val="9"/>
          <w:rFonts w:ascii="黑体" w:hAnsi="黑体" w:eastAsia="黑体" w:cs="黑体"/>
          <w:sz w:val="32"/>
          <w:szCs w:val="32"/>
          <w:shd w:val="clear" w:color="auto" w:fill="FFFFFF"/>
        </w:rPr>
      </w:pPr>
      <w:r>
        <w:rPr>
          <w:rStyle w:val="9"/>
          <w:rFonts w:hint="eastAsia" w:ascii="黑体" w:hAnsi="黑体" w:eastAsia="黑体" w:cs="黑体"/>
          <w:sz w:val="32"/>
          <w:szCs w:val="32"/>
          <w:shd w:val="clear" w:color="auto" w:fill="FFFFFF"/>
          <w:lang w:eastAsia="zh-CN"/>
        </w:rPr>
        <w:t>财政拨款</w:t>
      </w:r>
      <w:r>
        <w:rPr>
          <w:rStyle w:val="9"/>
          <w:rFonts w:ascii="黑体" w:hAnsi="黑体" w:eastAsia="黑体" w:cs="黑体"/>
          <w:sz w:val="32"/>
          <w:szCs w:val="32"/>
          <w:shd w:val="clear" w:color="auto" w:fill="FFFFFF"/>
        </w:rPr>
        <w:t>“三公”经费情况说明</w:t>
      </w:r>
    </w:p>
    <w:p>
      <w:pPr>
        <w:keepNext w:val="0"/>
        <w:keepLines w:val="0"/>
        <w:pageBreakBefore w:val="0"/>
        <w:numPr>
          <w:ilvl w:val="0"/>
          <w:numId w:val="0"/>
        </w:numPr>
        <w:kinsoku/>
        <w:wordWrap/>
        <w:overflowPunct/>
        <w:topLinePunct w:val="0"/>
        <w:autoSpaceDN/>
        <w:bidi w:val="0"/>
        <w:adjustRightInd/>
        <w:spacing w:line="578"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keepNext w:val="0"/>
        <w:keepLines w:val="0"/>
        <w:pageBreakBefore w:val="0"/>
        <w:kinsoku/>
        <w:wordWrap/>
        <w:overflowPunct/>
        <w:topLinePunct w:val="0"/>
        <w:autoSpaceDN/>
        <w:bidi w:val="0"/>
        <w:adjustRightInd/>
        <w:spacing w:line="578"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sz w:val="32"/>
          <w:szCs w:val="32"/>
          <w:shd w:val="clear" w:color="auto" w:fill="FFFFFF"/>
          <w:lang w:val="en-US" w:eastAsia="zh-CN"/>
        </w:rPr>
        <w:t>本单位按照财政相关要求，严格执行预算。</w:t>
      </w:r>
      <w:r>
        <w:rPr>
          <w:rFonts w:ascii="方正仿宋_GBK" w:hAnsi="方正仿宋_GBK" w:eastAsia="方正仿宋_GBK" w:cs="方正仿宋_GBK"/>
          <w:sz w:val="32"/>
          <w:szCs w:val="32"/>
          <w:shd w:val="clear" w:color="auto" w:fill="FFFFFF"/>
        </w:rPr>
        <w:t>较上年支出数增加0.10万元，增长100.0%，主要原因是本单位是2024年新增单位，无上年数，所以增减比例较高。</w:t>
      </w:r>
    </w:p>
    <w:p>
      <w:pPr>
        <w:pStyle w:val="10"/>
        <w:keepNext w:val="0"/>
        <w:keepLines w:val="0"/>
        <w:pageBreakBefore w:val="0"/>
        <w:kinsoku/>
        <w:wordWrap/>
        <w:overflowPunct/>
        <w:topLinePunct w:val="0"/>
        <w:autoSpaceDE w:val="0"/>
        <w:autoSpaceDN/>
        <w:bidi w:val="0"/>
        <w:adjustRightInd/>
        <w:spacing w:line="578"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本单位202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年度未发生因公出国（境）支出。</w:t>
      </w:r>
    </w:p>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本单位202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年度未发生公务车购置费。</w:t>
      </w:r>
    </w:p>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本单位202</w:t>
      </w:r>
      <w:r>
        <w:rPr>
          <w:rFonts w:hint="eastAsia" w:ascii="方正仿宋_GBK" w:hAnsi="方正仿宋_GBK" w:eastAsia="方正仿宋_GBK" w:cs="方正仿宋_GBK"/>
          <w:color w:val="auto"/>
          <w:sz w:val="32"/>
          <w:szCs w:val="32"/>
          <w:lang w:val="en-US" w:eastAsia="zh-CN"/>
        </w:rPr>
        <w:t>4</w:t>
      </w:r>
      <w:r>
        <w:rPr>
          <w:rFonts w:hint="eastAsia" w:ascii="方正仿宋_GBK" w:hAnsi="方正仿宋_GBK" w:eastAsia="方正仿宋_GBK" w:cs="方正仿宋_GBK"/>
          <w:color w:val="auto"/>
          <w:sz w:val="32"/>
          <w:szCs w:val="32"/>
        </w:rPr>
        <w:t>年度未发生公务车运行维护费。</w:t>
      </w:r>
    </w:p>
    <w:p>
      <w:pPr>
        <w:keepNext w:val="0"/>
        <w:keepLines w:val="0"/>
        <w:pageBreakBefore w:val="0"/>
        <w:kinsoku/>
        <w:wordWrap/>
        <w:overflowPunct/>
        <w:topLinePunct w:val="0"/>
        <w:autoSpaceDN/>
        <w:bidi w:val="0"/>
        <w:adjustRightInd/>
        <w:spacing w:line="578"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rPr>
        <w:t>接待上级部门以及其他需要公务接待费的费用</w:t>
      </w:r>
      <w:r>
        <w:rPr>
          <w:rFonts w:hint="eastAsia" w:ascii="方正仿宋_GBK" w:hAnsi="方正仿宋_GBK" w:eastAsia="方正仿宋_GBK" w:cs="方正仿宋_GBK"/>
          <w:color w:val="auto"/>
          <w:sz w:val="32"/>
          <w:szCs w:val="32"/>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val="en-US" w:eastAsia="zh-CN"/>
        </w:rPr>
        <w:t>本单位按照财政相关要求，严格执行预算。</w:t>
      </w:r>
      <w:r>
        <w:rPr>
          <w:rFonts w:ascii="方正仿宋_GBK" w:hAnsi="方正仿宋_GBK" w:eastAsia="方正仿宋_GBK" w:cs="方正仿宋_GBK"/>
          <w:sz w:val="32"/>
          <w:szCs w:val="32"/>
          <w:shd w:val="clear" w:color="auto" w:fill="FFFFFF"/>
        </w:rPr>
        <w:t>较上年支出数增加0.10万元，增长100.0%，主要原因是本单位是2024年新增单位，无上年数，所以增减比例较高。</w:t>
      </w:r>
    </w:p>
    <w:p>
      <w:pPr>
        <w:pStyle w:val="10"/>
        <w:keepNext w:val="0"/>
        <w:keepLines w:val="0"/>
        <w:pageBreakBefore w:val="0"/>
        <w:kinsoku/>
        <w:wordWrap/>
        <w:overflowPunct/>
        <w:topLinePunct w:val="0"/>
        <w:autoSpaceDE w:val="0"/>
        <w:autoSpaceDN/>
        <w:bidi w:val="0"/>
        <w:adjustRightInd/>
        <w:spacing w:line="578" w:lineRule="exact"/>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22</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45.45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keepNext w:val="0"/>
        <w:keepLines w:val="0"/>
        <w:pageBreakBefore w:val="0"/>
        <w:kinsoku/>
        <w:wordWrap/>
        <w:overflowPunct/>
        <w:topLinePunct w:val="0"/>
        <w:autoSpaceDN/>
        <w:bidi w:val="0"/>
        <w:adjustRightInd/>
        <w:spacing w:line="578" w:lineRule="exact"/>
        <w:ind w:firstLine="643"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四、其他需要说明的事项</w:t>
      </w:r>
    </w:p>
    <w:p>
      <w:pPr>
        <w:pStyle w:val="10"/>
        <w:keepNext w:val="0"/>
        <w:keepLines w:val="0"/>
        <w:pageBreakBefore w:val="0"/>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keepNext w:val="0"/>
        <w:keepLines w:val="0"/>
        <w:pageBreakBefore w:val="0"/>
        <w:kinsoku/>
        <w:wordWrap/>
        <w:overflowPunct/>
        <w:topLinePunct w:val="0"/>
        <w:autoSpaceDN/>
        <w:bidi w:val="0"/>
        <w:adjustRightInd/>
        <w:spacing w:line="578" w:lineRule="exact"/>
        <w:ind w:firstLine="640" w:firstLineChars="200"/>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2.73</w:t>
      </w:r>
      <w:r>
        <w:rPr>
          <w:rFonts w:ascii="方正仿宋_GBK" w:hAnsi="方正仿宋_GBK" w:eastAsia="方正仿宋_GBK" w:cs="方正仿宋_GBK"/>
          <w:sz w:val="32"/>
          <w:szCs w:val="32"/>
          <w:shd w:val="clear" w:color="auto" w:fill="FFFFFF"/>
        </w:rPr>
        <w:t>万元，与2023年度相比，增加2.73万元，增长100.0%，主要原因是本单位是2024年新增单位，无上年数，所以增减比例较高。本年度培训费支出</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万元，与2023年度相比，增加0.05万元，增长100.0%，主要原因是本单位是2024年新增单位，无上年数，所以增减比例较高。</w:t>
      </w:r>
    </w:p>
    <w:p>
      <w:pPr>
        <w:pStyle w:val="10"/>
        <w:keepNext w:val="0"/>
        <w:keepLines w:val="0"/>
        <w:pageBreakBefore w:val="0"/>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keepNext w:val="0"/>
        <w:keepLines w:val="0"/>
        <w:pageBreakBefore w:val="0"/>
        <w:widowControl/>
        <w:kinsoku/>
        <w:wordWrap/>
        <w:overflowPunct/>
        <w:topLinePunct w:val="0"/>
        <w:autoSpaceDE/>
        <w:autoSpaceDN/>
        <w:bidi w:val="0"/>
        <w:adjustRightInd/>
        <w:snapToGrid/>
        <w:spacing w:beforeAutospacing="0" w:afterAutospacing="0" w:line="578" w:lineRule="exact"/>
        <w:ind w:firstLine="640" w:firstLineChars="200"/>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按照部门决算列报口径，</w:t>
      </w:r>
      <w:r>
        <w:rPr>
          <w:rFonts w:hint="eastAsia" w:ascii="方正仿宋_GBK" w:hAnsi="方正仿宋_GBK" w:eastAsia="方正仿宋_GBK" w:cs="方正仿宋_GBK"/>
          <w:color w:val="auto"/>
          <w:sz w:val="32"/>
          <w:szCs w:val="32"/>
          <w:lang w:val="en-US" w:eastAsia="zh-CN"/>
        </w:rPr>
        <w:t>财政未保障我单位机关运行经费，</w:t>
      </w:r>
      <w:r>
        <w:rPr>
          <w:rFonts w:hint="eastAsia" w:ascii="方正仿宋_GBK" w:hAnsi="方正仿宋_GBK" w:eastAsia="方正仿宋_GBK" w:cs="方正仿宋_GBK"/>
          <w:color w:val="auto"/>
          <w:sz w:val="32"/>
          <w:szCs w:val="32"/>
        </w:rPr>
        <w:t>我单位不在机关运行经费统计范围之内。</w:t>
      </w:r>
    </w:p>
    <w:p>
      <w:pPr>
        <w:pStyle w:val="10"/>
        <w:keepNext w:val="0"/>
        <w:keepLines w:val="0"/>
        <w:pageBreakBefore w:val="0"/>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0"/>
        <w:keepNext w:val="0"/>
        <w:keepLines w:val="0"/>
        <w:pageBreakBefore w:val="0"/>
        <w:kinsoku/>
        <w:wordWrap/>
        <w:overflowPunct/>
        <w:topLinePunct w:val="0"/>
        <w:autoSpaceDE w:val="0"/>
        <w:autoSpaceDN/>
        <w:bidi w:val="0"/>
        <w:adjustRightInd/>
        <w:spacing w:line="578"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6"/>
        <w:keepNext w:val="0"/>
        <w:keepLines w:val="0"/>
        <w:pageBreakBefore w:val="0"/>
        <w:kinsoku/>
        <w:wordWrap/>
        <w:overflowPunct/>
        <w:topLinePunct w:val="0"/>
        <w:autoSpaceDN/>
        <w:bidi w:val="0"/>
        <w:adjustRightInd/>
        <w:snapToGrid w:val="0"/>
        <w:spacing w:before="0" w:beforeAutospacing="0" w:after="0" w:afterAutospacing="0" w:line="578"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176.96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6.96</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170.00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176.96万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176.96</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eastAsia="zh-CN"/>
        </w:rPr>
        <w:t>计算机、打印纸、数字重庆公司技术服务资金等</w:t>
      </w:r>
      <w:r>
        <w:rPr>
          <w:rFonts w:ascii="方正仿宋_GBK" w:hAnsi="方正仿宋_GBK" w:eastAsia="方正仿宋_GBK" w:cs="方正仿宋_GBK"/>
          <w:sz w:val="32"/>
          <w:szCs w:val="32"/>
          <w:shd w:val="clear" w:color="auto" w:fill="FFFFFF"/>
        </w:rPr>
        <w:t>。</w:t>
      </w:r>
    </w:p>
    <w:p>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78" w:lineRule="exact"/>
        <w:ind w:firstLine="643" w:firstLineChars="200"/>
        <w:textAlignment w:val="auto"/>
        <w:rPr>
          <w:rStyle w:val="9"/>
          <w:rFonts w:hint="eastAsia" w:ascii="黑体" w:hAnsi="黑体" w:eastAsia="黑体" w:cs="黑体"/>
          <w:sz w:val="32"/>
          <w:szCs w:val="32"/>
          <w:shd w:val="clear" w:color="auto" w:fill="FFFFFF"/>
          <w:lang w:val="en-US" w:eastAsia="zh-CN" w:bidi="ar-SA"/>
        </w:rPr>
      </w:pPr>
      <w:r>
        <w:rPr>
          <w:rStyle w:val="9"/>
          <w:rFonts w:hint="eastAsia" w:ascii="黑体" w:hAnsi="黑体" w:eastAsia="黑体" w:cs="黑体"/>
          <w:sz w:val="32"/>
          <w:szCs w:val="32"/>
          <w:shd w:val="clear" w:color="auto" w:fill="FFFFFF"/>
          <w:lang w:val="en-US" w:eastAsia="zh-CN" w:bidi="ar-SA"/>
        </w:rPr>
        <w:t>五、2024年度预算绩效管理情况说明</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8" w:lineRule="exact"/>
        <w:ind w:firstLine="640" w:firstLineChars="200"/>
        <w:jc w:val="left"/>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3</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254.96</w:t>
      </w:r>
      <w:r>
        <w:rPr>
          <w:rFonts w:hint="eastAsia" w:ascii="方正仿宋_GBK" w:hAnsi="方正仿宋_GBK" w:eastAsia="方正仿宋_GBK" w:cs="方正仿宋_GBK"/>
          <w:kern w:val="0"/>
          <w:sz w:val="32"/>
          <w:szCs w:val="32"/>
          <w:shd w:val="clear" w:fill="FFFFFF"/>
        </w:rPr>
        <w:t>万元</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rPr>
      </w:pPr>
      <w:r>
        <w:rPr>
          <w:rFonts w:hint="eastAsia" w:ascii="方正仿宋_GBK" w:hAnsi="方正仿宋_GBK" w:eastAsia="方正仿宋_GBK" w:cs="方正仿宋_GBK"/>
          <w:b/>
          <w:bCs/>
          <w:kern w:val="0"/>
          <w:sz w:val="32"/>
          <w:szCs w:val="32"/>
          <w:shd w:val="clear" w:fill="FFFFFF"/>
        </w:rPr>
        <w:t>项目支出绩效自评表</w:t>
      </w:r>
    </w:p>
    <w:tbl>
      <w:tblPr>
        <w:tblStyle w:val="7"/>
        <w:tblW w:w="133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3"/>
        <w:gridCol w:w="1186"/>
        <w:gridCol w:w="777"/>
        <w:gridCol w:w="991"/>
        <w:gridCol w:w="909"/>
        <w:gridCol w:w="1617"/>
        <w:gridCol w:w="970"/>
        <w:gridCol w:w="1118"/>
        <w:gridCol w:w="1118"/>
        <w:gridCol w:w="1677"/>
        <w:gridCol w:w="14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3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eastAsia" w:ascii="宋体" w:hAnsi="宋体" w:eastAsia="宋体" w:cs="宋体"/>
                <w:b/>
                <w:bCs/>
                <w:i w:val="0"/>
                <w:iCs w:val="0"/>
                <w:color w:val="DA3232"/>
                <w:sz w:val="22"/>
                <w:szCs w:val="22"/>
                <w:u w:val="none"/>
              </w:rPr>
            </w:pPr>
            <w:r>
              <w:rPr>
                <w:rFonts w:hint="eastAsia" w:ascii="宋体" w:hAnsi="宋体" w:eastAsia="宋体" w:cs="宋体"/>
                <w:b/>
                <w:bCs/>
                <w:i w:val="0"/>
                <w:iCs w:val="0"/>
                <w:color w:val="DA3232"/>
                <w:kern w:val="0"/>
                <w:sz w:val="22"/>
                <w:szCs w:val="22"/>
                <w:u w:val="none"/>
                <w:lang w:val="en-US" w:eastAsia="zh-CN" w:bidi="ar"/>
              </w:rPr>
              <w:t>状态：部门审核已审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2024年治理中心建设运维费</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11"/>
                <w:kern w:val="0"/>
                <w:sz w:val="22"/>
                <w:szCs w:val="22"/>
                <w:u w:val="none"/>
                <w:lang w:val="en-US" w:eastAsia="zh-CN" w:bidi="ar"/>
              </w:rPr>
              <w:t>项目编码：</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50023825T000004644410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自评</w:t>
            </w:r>
          </w:p>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总分：</w:t>
            </w: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96.95</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b/>
                <w:bCs/>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spacing w:val="-11"/>
                <w:kern w:val="0"/>
                <w:sz w:val="22"/>
                <w:szCs w:val="22"/>
                <w:u w:val="none"/>
                <w:lang w:val="en-US" w:eastAsia="zh-CN" w:bidi="ar"/>
              </w:rPr>
              <w:t>项目主管部门：</w:t>
            </w:r>
          </w:p>
        </w:tc>
        <w:tc>
          <w:tcPr>
            <w:tcW w:w="19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002-巫溪县人民政府办公室</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tLeast"/>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005-行财科</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22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王玟瑄</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19923052564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655,171.43</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455,171.43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655,171.43</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455,171.43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25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655,171.43</w:t>
            </w:r>
          </w:p>
        </w:tc>
        <w:tc>
          <w:tcPr>
            <w:tcW w:w="20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455,171.43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69.47</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49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461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42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449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完善“感知预警-决策处置-监督评价-复盘改进”闭环工作体系，全上跑道、全面探索，加快提升县治理中心贯通实战能力。</w:t>
            </w:r>
          </w:p>
        </w:tc>
        <w:tc>
          <w:tcPr>
            <w:tcW w:w="461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完善“感知预警-决策处置-监督评价-复盘改进”闭环工作体系，全上跑道、全面探索，加快提升县治理中心贯通实战能力。</w:t>
            </w:r>
          </w:p>
        </w:tc>
        <w:tc>
          <w:tcPr>
            <w:tcW w:w="422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迭代承接8大板块、68条跑道、249条子跑道、21条特色子跑道，</w:t>
            </w:r>
            <w:r>
              <w:rPr>
                <w:rFonts w:hint="eastAsia" w:cs="宋体"/>
                <w:i w:val="0"/>
                <w:iCs w:val="0"/>
                <w:color w:val="000000"/>
                <w:kern w:val="0"/>
                <w:sz w:val="22"/>
                <w:szCs w:val="22"/>
                <w:u w:val="none"/>
                <w:lang w:val="en-US" w:eastAsia="zh-CN" w:bidi="ar"/>
              </w:rPr>
              <w:t>体征指标2514个、KPI接入1163个、风险点落图46类2433个、贯通市级应用139个、累计处置事件73027件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33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一年内完成</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多跨协同能力大幅度提升，城市智治水平增强</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明显提升</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能力建设有大幅度提升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较好</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需要花费成本</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万元</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4"/>
        <w:keepNext w:val="0"/>
        <w:keepLines w:val="0"/>
        <w:pageBreakBefore w:val="0"/>
        <w:widowControl/>
        <w:kinsoku/>
        <w:wordWrap/>
        <w:overflowPunct/>
        <w:topLinePunct w:val="0"/>
        <w:autoSpaceDE w:val="0"/>
        <w:autoSpaceDN/>
        <w:bidi w:val="0"/>
        <w:adjustRightInd/>
        <w:spacing w:beforeAutospacing="0" w:afterAutospacing="0" w:line="600" w:lineRule="exact"/>
        <w:ind w:firstLine="1280" w:firstLineChars="400"/>
        <w:textAlignment w:val="auto"/>
        <w:rPr>
          <w:rFonts w:hint="default" w:ascii="楷体" w:hAnsi="楷体" w:eastAsia="楷体" w:cs="楷体"/>
          <w:b/>
          <w:bCs/>
          <w:color w:val="auto"/>
          <w:kern w:val="0"/>
          <w:sz w:val="32"/>
          <w:szCs w:val="32"/>
          <w:highlight w:val="yellow"/>
          <w:shd w:val="clear" w:fill="FFFFFF"/>
          <w:lang w:val="en-US" w:eastAsia="zh-CN"/>
        </w:rPr>
      </w:pPr>
      <w:r>
        <w:rPr>
          <w:rFonts w:hint="eastAsia" w:ascii="方正仿宋_GBK" w:hAnsi="方正仿宋_GBK" w:eastAsia="方正仿宋_GBK" w:cs="方正仿宋_GBK"/>
          <w:color w:val="auto"/>
          <w:sz w:val="32"/>
          <w:szCs w:val="32"/>
          <w:highlight w:val="none"/>
          <w:shd w:val="clear" w:color="auto" w:fill="FFFFFF"/>
          <w:lang w:val="en-US" w:eastAsia="zh-CN" w:bidi="ar-SA"/>
        </w:rPr>
        <w:t>我单位未组织开展绩效评价。</w:t>
      </w:r>
    </w:p>
    <w:p>
      <w:pPr>
        <w:pStyle w:val="13"/>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pPr>
        <w:pStyle w:val="13"/>
        <w:keepNext w:val="0"/>
        <w:keepLines w:val="0"/>
        <w:pageBreakBefore w:val="0"/>
        <w:widowControl/>
        <w:numPr>
          <w:ilvl w:val="0"/>
          <w:numId w:val="0"/>
        </w:numPr>
        <w:kinsoku/>
        <w:wordWrap/>
        <w:overflowPunct/>
        <w:topLinePunct w:val="0"/>
        <w:autoSpaceDE w:val="0"/>
        <w:autoSpaceDN/>
        <w:bidi w:val="0"/>
        <w:adjustRightInd/>
        <w:snapToGrid/>
        <w:spacing w:beforeAutospacing="0" w:after="0" w:afterAutospacing="0" w:line="600" w:lineRule="exact"/>
        <w:ind w:leftChars="200" w:right="0" w:rightChars="0" w:firstLine="640" w:firstLineChars="200"/>
        <w:textAlignment w:val="auto"/>
        <w:rPr>
          <w:rStyle w:val="12"/>
          <w:rFonts w:hint="eastAsia" w:ascii="方正仿宋_GBK" w:hAnsi="方正仿宋_GBK" w:eastAsia="方正仿宋_GBK" w:cs="方正仿宋_GBK"/>
          <w:b/>
          <w:bCs/>
          <w:color w:val="auto"/>
          <w:sz w:val="32"/>
          <w:szCs w:val="32"/>
          <w:highlight w:val="none"/>
          <w:shd w:val="clear" w:fill="FFFFFF"/>
        </w:rPr>
      </w:pPr>
      <w:r>
        <w:rPr>
          <w:rFonts w:hint="eastAsia" w:ascii="方正仿宋_GBK" w:hAnsi="方正仿宋_GBK" w:eastAsia="方正仿宋_GBK" w:cs="方正仿宋_GBK"/>
          <w:color w:val="auto"/>
          <w:sz w:val="32"/>
          <w:szCs w:val="32"/>
          <w:lang w:val="en-US" w:eastAsia="zh-CN"/>
        </w:rPr>
        <w:t>县财政局未委托第三方对我单位开展绩效评价。</w:t>
      </w:r>
    </w:p>
    <w:p>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sz w:val="32"/>
          <w:szCs w:val="32"/>
          <w:shd w:val="clear" w:color="auto" w:fill="FFFFFF"/>
          <w:lang w:val="en-US" w:eastAsia="zh-CN" w:bidi="ar-SA"/>
        </w:rPr>
        <w:t xml:space="preserve"> 六、专业名词解释</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9"/>
          <w:rFonts w:hint="eastAsia" w:ascii="黑体" w:hAnsi="黑体" w:eastAsia="黑体" w:cs="黑体"/>
          <w:sz w:val="32"/>
          <w:szCs w:val="32"/>
          <w:shd w:val="clear" w:color="auto" w:fill="FFFFFF"/>
          <w:lang w:val="en-US" w:eastAsia="zh-CN" w:bidi="ar-SA"/>
        </w:rPr>
        <w:t>七、决算公开联系方式及信息反馈渠道</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rPr>
        <w:sectPr>
          <w:headerReference r:id="rId3" w:type="default"/>
          <w:footerReference r:id="rId4" w:type="default"/>
          <w:pgSz w:w="16838" w:h="23811"/>
          <w:pgMar w:top="2098" w:right="1474" w:bottom="1984" w:left="1587" w:header="0" w:footer="283" w:gutter="0"/>
          <w:pgNumType w:fmt="numberInDash"/>
          <w:cols w:space="720" w:num="1"/>
          <w:docGrid w:type="lines" w:linePitch="312" w:charSpace="0"/>
        </w:sect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19923052564</w:t>
      </w:r>
    </w:p>
    <w:p>
      <w:pPr>
        <w:pStyle w:val="11"/>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shd w:val="clear" w:fill="FFFFFF"/>
        </w:rPr>
      </w:pPr>
    </w:p>
    <w:tbl>
      <w:tblPr>
        <w:tblStyle w:val="7"/>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巫溪县创建工作服务中心</w:t>
            </w: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306.15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306.15 </w:t>
            </w:r>
          </w:p>
        </w:tc>
        <w:tc>
          <w:tcPr>
            <w:tcW w:w="49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306.15</w:t>
            </w:r>
          </w:p>
        </w:tc>
      </w:tr>
    </w:tbl>
    <w:p>
      <w:pPr>
        <w:pStyle w:val="10"/>
        <w:numPr>
          <w:ilvl w:val="0"/>
          <w:numId w:val="0"/>
        </w:numPr>
        <w:autoSpaceDE w:val="0"/>
        <w:rPr>
          <w:rFonts w:hint="eastAsia" w:ascii="宋体" w:hAnsi="宋体" w:eastAsia="宋体" w:cs="宋体"/>
          <w:sz w:val="21"/>
          <w:szCs w:val="21"/>
          <w:lang w:val="en-US" w:eastAsia="zh-CN"/>
        </w:rPr>
        <w:sectPr>
          <w:pgSz w:w="23811" w:h="16838" w:orient="landscape"/>
          <w:pgMar w:top="567" w:right="454" w:bottom="567" w:left="1037" w:header="0" w:footer="283" w:gutter="0"/>
          <w:pgNumType w:fmt="numberInDash"/>
          <w:cols w:space="720" w:num="1"/>
          <w:docGrid w:type="lines" w:linePitch="312" w:charSpace="0"/>
        </w:sectPr>
      </w:pPr>
    </w:p>
    <w:p>
      <w:pPr>
        <w:pStyle w:val="10"/>
        <w:numPr>
          <w:ilvl w:val="0"/>
          <w:numId w:val="0"/>
        </w:numPr>
        <w:autoSpaceDE w:val="0"/>
        <w:rPr>
          <w:rFonts w:hint="eastAsia" w:ascii="宋体" w:hAnsi="宋体" w:eastAsia="宋体" w:cs="宋体"/>
          <w:sz w:val="21"/>
          <w:szCs w:val="21"/>
          <w:lang w:val="en-US" w:eastAsia="zh-CN"/>
        </w:rPr>
      </w:pP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巫溪县创建工作服务中心</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306.15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306.15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254.96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巫溪县创建工作服务中心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306.15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51.19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254.96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295.96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2010399</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254.96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5.33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巫溪县创建工作服务中心</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295.96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5.33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306.15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306.15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巫溪县创建工作服务中心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306.15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51.19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254.96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306.15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51.19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254.96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295.96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254.96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254.96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254.96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254.96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3.55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巫溪县创建工作服务中心</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2.33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3.55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0.09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2.67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49.23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7"/>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巫溪县创建工作服务中心</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eastAsia" w:ascii="宋体" w:hAnsi="宋体" w:eastAsia="宋体" w:cs="宋体"/>
          <w:sz w:val="21"/>
          <w:szCs w:val="21"/>
        </w:rPr>
      </w:pPr>
      <w:bookmarkStart w:id="0" w:name="_GoBack"/>
      <w:r>
        <w:rPr>
          <w:rFonts w:hint="eastAsia" w:ascii="方正仿宋_GBK" w:hAnsi="方正仿宋_GBK" w:eastAsia="方正仿宋_GBK" w:cs="方正仿宋_GBK"/>
          <w:sz w:val="32"/>
          <w:szCs w:val="32"/>
          <w:lang w:val="en-US" w:eastAsia="zh-CN"/>
        </w:rPr>
        <w:t>本单位无政府性基金预算财政拨款收入支出决算表，故本表无数据。</w:t>
      </w:r>
      <w:bookmarkEnd w:id="0"/>
      <w:r>
        <w:rPr>
          <w:rFonts w:hint="eastAsia" w:ascii="宋体" w:hAnsi="宋体" w:eastAsia="宋体" w:cs="宋体"/>
          <w:sz w:val="21"/>
          <w:szCs w:val="21"/>
        </w:rPr>
        <w:br w:type="page"/>
      </w:r>
    </w:p>
    <w:tbl>
      <w:tblPr>
        <w:tblStyle w:val="7"/>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巫溪县创建工作服务中心</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方正仿宋_GBK" w:hAnsi="方正仿宋_GBK" w:eastAsia="方正仿宋_GBK" w:cs="方正仿宋_GBK"/>
          <w:sz w:val="32"/>
          <w:szCs w:val="32"/>
          <w:lang w:val="en-US" w:eastAsia="zh-CN"/>
        </w:rPr>
        <w:t>本单位无国有资本经营预算财政拨款收入支出决算表，故本表无数据。</w:t>
      </w:r>
      <w:r>
        <w:rPr>
          <w:rFonts w:hint="eastAsia" w:ascii="宋体" w:hAnsi="宋体" w:eastAsia="宋体" w:cs="宋体"/>
          <w:sz w:val="21"/>
          <w:szCs w:val="21"/>
        </w:rPr>
        <w:br w:type="page"/>
      </w:r>
    </w:p>
    <w:tbl>
      <w:tblPr>
        <w:tblStyle w:val="7"/>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巫溪县创建工作服务中心</w:t>
            </w: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0.10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w:t>
            </w: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176.96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2.73</w:t>
            </w:r>
          </w:p>
        </w:tc>
        <w:tc>
          <w:tcPr>
            <w:tcW w:w="5317"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0.05</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1.79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4722F3"/>
    <w:multiLevelType w:val="singleLevel"/>
    <w:tmpl w:val="D14722F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782F21"/>
    <w:rsid w:val="03E3214F"/>
    <w:rsid w:val="04446191"/>
    <w:rsid w:val="044C50BA"/>
    <w:rsid w:val="06A2550B"/>
    <w:rsid w:val="06F80EE2"/>
    <w:rsid w:val="07001CCA"/>
    <w:rsid w:val="075678DB"/>
    <w:rsid w:val="08051BCA"/>
    <w:rsid w:val="08887FC5"/>
    <w:rsid w:val="08BA052C"/>
    <w:rsid w:val="08DB07BA"/>
    <w:rsid w:val="09180CB6"/>
    <w:rsid w:val="098305D0"/>
    <w:rsid w:val="09B72B6E"/>
    <w:rsid w:val="0A3851D8"/>
    <w:rsid w:val="0A5C4B69"/>
    <w:rsid w:val="0AEC3BC7"/>
    <w:rsid w:val="0B192B6F"/>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1F045CF"/>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9D5700F"/>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E4160EF"/>
    <w:rsid w:val="2FE029D7"/>
    <w:rsid w:val="2FF06E00"/>
    <w:rsid w:val="30E26431"/>
    <w:rsid w:val="315D199F"/>
    <w:rsid w:val="315F0B22"/>
    <w:rsid w:val="31D84415"/>
    <w:rsid w:val="32285F6F"/>
    <w:rsid w:val="32770556"/>
    <w:rsid w:val="329C0913"/>
    <w:rsid w:val="3337290D"/>
    <w:rsid w:val="34600DC4"/>
    <w:rsid w:val="34654DCE"/>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124C3F"/>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3D1946"/>
    <w:rsid w:val="49454A12"/>
    <w:rsid w:val="495C4A24"/>
    <w:rsid w:val="4AD70EE7"/>
    <w:rsid w:val="4B7951CB"/>
    <w:rsid w:val="4B7C315C"/>
    <w:rsid w:val="4BAB7F90"/>
    <w:rsid w:val="4DAC4ACA"/>
    <w:rsid w:val="4DB52C02"/>
    <w:rsid w:val="4F186D58"/>
    <w:rsid w:val="50EC262C"/>
    <w:rsid w:val="51B9241F"/>
    <w:rsid w:val="522F6E0C"/>
    <w:rsid w:val="52463BA1"/>
    <w:rsid w:val="53C0244D"/>
    <w:rsid w:val="53DD4D4E"/>
    <w:rsid w:val="53E578CE"/>
    <w:rsid w:val="543A6A59"/>
    <w:rsid w:val="543B029D"/>
    <w:rsid w:val="545D0246"/>
    <w:rsid w:val="54D77F0D"/>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015A45"/>
    <w:rsid w:val="601C34ED"/>
    <w:rsid w:val="60A958A9"/>
    <w:rsid w:val="60D22ADB"/>
    <w:rsid w:val="61025A59"/>
    <w:rsid w:val="613D5BBC"/>
    <w:rsid w:val="61536C39"/>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8A90854"/>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54819F8"/>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5C14AF"/>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6"/>
      <w:szCs w:val="26"/>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5">
    <w:name w:val="正文-公1"/>
    <w:basedOn w:val="16"/>
    <w:next w:val="1"/>
    <w:qFormat/>
    <w:uiPriority w:val="0"/>
    <w:pPr>
      <w:ind w:firstLine="20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5"/>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6546</Words>
  <Characters>7622</Characters>
  <Lines>161</Lines>
  <Paragraphs>45</Paragraphs>
  <TotalTime>2</TotalTime>
  <ScaleCrop>false</ScaleCrop>
  <LinksUpToDate>false</LinksUpToDate>
  <CharactersWithSpaces>7742</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2025-09-11T07:14:50Z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843569275AFD49F9B37EC9D8E6F5761F_13</vt:lpwstr>
  </property>
  <property fmtid="{D5CDD505-2E9C-101B-9397-08002B2CF9AE}" pid="4" name="KSOTemplateDocerSaveRecord">
    <vt:lpwstr>eyJoZGlkIjoiYjlmNjBjZWExOGY0YTliNzVlYTdjZjliZTg0MmIzZmIiLCJ1c2VySWQiOiIxNjIyMTU1MDc2In0=</vt:lpwstr>
  </property>
</Properties>
</file>