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N/>
        <w:bidi w:val="0"/>
        <w:adjustRightInd/>
        <w:spacing w:before="0" w:beforeAutospacing="0" w:after="0" w:afterAutospacing="0" w:line="594" w:lineRule="exact"/>
        <w:jc w:val="center"/>
        <w:textAlignment w:val="auto"/>
        <w:rPr>
          <w:rFonts w:hint="eastAsia" w:ascii="方正小标宋_GBK" w:hAnsi="方正小标宋_GBK" w:eastAsia="方正小标宋_GBK" w:cs="方正小标宋_GBK"/>
          <w:b w:val="0"/>
          <w:bCs w:val="0"/>
          <w:color w:val="000000" w:themeColor="text1"/>
          <w:sz w:val="44"/>
          <w:szCs w:val="44"/>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44"/>
          <w:szCs w:val="44"/>
          <w14:textFill>
            <w14:solidFill>
              <w14:schemeClr w14:val="tx1"/>
            </w14:solidFill>
          </w14:textFill>
        </w:rPr>
        <w:t>巫溪县残疾人联合会</w:t>
      </w:r>
    </w:p>
    <w:p>
      <w:pPr>
        <w:pStyle w:val="5"/>
        <w:keepNext w:val="0"/>
        <w:keepLines w:val="0"/>
        <w:pageBreakBefore w:val="0"/>
        <w:widowControl/>
        <w:kinsoku/>
        <w:wordWrap/>
        <w:overflowPunct/>
        <w:topLinePunct w:val="0"/>
        <w:autoSpaceDN/>
        <w:bidi w:val="0"/>
        <w:adjustRightInd/>
        <w:spacing w:before="0" w:beforeAutospacing="0" w:after="0" w:afterAutospacing="0" w:line="594" w:lineRule="exact"/>
        <w:jc w:val="center"/>
        <w:textAlignment w:val="auto"/>
        <w:rPr>
          <w:rFonts w:hint="eastAsia" w:ascii="方正小标宋_GBK" w:hAnsi="方正小标宋_GBK" w:eastAsia="方正小标宋_GBK" w:cs="方正小标宋_GBK"/>
          <w:b w:val="0"/>
          <w:bCs w:val="0"/>
          <w:color w:val="000000" w:themeColor="text1"/>
          <w:sz w:val="44"/>
          <w:szCs w:val="44"/>
          <w:shd w:val="clear" w:color="auto" w:fill="FFFFFF"/>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44"/>
          <w:szCs w:val="44"/>
          <w:shd w:val="clear" w:color="auto" w:fill="FFFFFF"/>
          <w14:textFill>
            <w14:solidFill>
              <w14:schemeClr w14:val="tx1"/>
            </w14:solidFill>
          </w14:textFill>
        </w:rPr>
        <w:t>2024年度决算公开说明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jc w:val="center"/>
        <w:textAlignment w:val="auto"/>
        <w:rPr>
          <w:rFonts w:hint="default" w:ascii="Times New Roman" w:hAnsi="Times New Roman" w:eastAsia="仿宋_GB2312" w:cs="Times New Roman"/>
          <w:color w:val="000000" w:themeColor="text1"/>
          <w:sz w:val="36"/>
          <w:szCs w:val="36"/>
          <w:shd w:val="clear" w:color="auto" w:fill="FFFFFF"/>
          <w14:textFill>
            <w14:solidFill>
              <w14:schemeClr w14:val="tx1"/>
            </w14:solidFill>
          </w14:textFill>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2" w:firstLineChars="200"/>
        <w:textAlignment w:val="auto"/>
        <w:rPr>
          <w:rStyle w:val="8"/>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Style w:val="8"/>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一、</w:t>
      </w:r>
      <w:r>
        <w:rPr>
          <w:rStyle w:val="8"/>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部门</w:t>
      </w:r>
      <w:r>
        <w:rPr>
          <w:rStyle w:val="8"/>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基本情况</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420"/>
        <w:textAlignment w:val="auto"/>
        <w:rPr>
          <w:rStyle w:val="8"/>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Style w:val="8"/>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（一）职能职责</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42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1. 贯彻执行《中华人民共和国残疾人保障法》、《重庆市残疾人保障条例》，联系残疾人，听取残疾人意见，反映残疾人要求，维护残疾人权益，为残疾人服务。 </w:t>
      </w:r>
    </w:p>
    <w:p>
      <w:pPr>
        <w:pStyle w:val="12"/>
        <w:keepNext w:val="0"/>
        <w:keepLines w:val="0"/>
        <w:pageBreakBefore w:val="0"/>
        <w:widowControl/>
        <w:tabs>
          <w:tab w:val="center" w:pos="4153"/>
          <w:tab w:val="left" w:pos="7275"/>
        </w:tabs>
        <w:kinsoku/>
        <w:wordWrap/>
        <w:overflowPunct/>
        <w:topLinePunct w:val="0"/>
        <w:autoSpaceDE/>
        <w:autoSpaceDN/>
        <w:bidi w:val="0"/>
        <w:adjustRightInd/>
        <w:snapToGrid/>
        <w:spacing w:beforeAutospacing="0" w:afterAutospacing="0" w:line="594" w:lineRule="exact"/>
        <w:ind w:left="0" w:leftChars="0" w:firstLine="640" w:firstLineChars="200"/>
        <w:jc w:val="lef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 协助政府研究、制定和实施残疾人事业的政策、规划和计划；调查掌握残疾人状况，向政府提出决策建议。</w:t>
      </w:r>
    </w:p>
    <w:p>
      <w:pPr>
        <w:pStyle w:val="12"/>
        <w:keepNext w:val="0"/>
        <w:keepLines w:val="0"/>
        <w:pageBreakBefore w:val="0"/>
        <w:widowControl/>
        <w:tabs>
          <w:tab w:val="center" w:pos="4153"/>
          <w:tab w:val="left" w:pos="7275"/>
        </w:tabs>
        <w:kinsoku/>
        <w:wordWrap/>
        <w:overflowPunct/>
        <w:topLinePunct w:val="0"/>
        <w:autoSpaceDE/>
        <w:autoSpaceDN/>
        <w:bidi w:val="0"/>
        <w:adjustRightInd/>
        <w:snapToGrid/>
        <w:spacing w:beforeAutospacing="0" w:afterAutospacing="0" w:line="594" w:lineRule="exact"/>
        <w:jc w:val="lef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3. 弘扬人道主义，宣传残疾人事业，沟通政府、社会与残疾人之间的联系，动员社会理解、尊重、关心、帮助残疾人。 </w:t>
      </w:r>
    </w:p>
    <w:p>
      <w:pPr>
        <w:pStyle w:val="12"/>
        <w:keepNext w:val="0"/>
        <w:keepLines w:val="0"/>
        <w:pageBreakBefore w:val="0"/>
        <w:widowControl/>
        <w:tabs>
          <w:tab w:val="center" w:pos="4153"/>
          <w:tab w:val="left" w:pos="7275"/>
        </w:tabs>
        <w:kinsoku/>
        <w:wordWrap/>
        <w:overflowPunct/>
        <w:topLinePunct w:val="0"/>
        <w:autoSpaceDE/>
        <w:autoSpaceDN/>
        <w:bidi w:val="0"/>
        <w:adjustRightInd/>
        <w:snapToGrid/>
        <w:spacing w:beforeAutospacing="0" w:afterAutospacing="0" w:line="594" w:lineRule="exact"/>
        <w:jc w:val="lef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 团结、教育残疾人遵守法律，履行应尽的义务，发扬乐观进取精神，自尊、自信、自强、自立，为社会主义建设，为巫溪的稳定发展贡献力量。</w:t>
      </w:r>
    </w:p>
    <w:p>
      <w:pPr>
        <w:pStyle w:val="12"/>
        <w:keepNext w:val="0"/>
        <w:keepLines w:val="0"/>
        <w:pageBreakBefore w:val="0"/>
        <w:widowControl/>
        <w:tabs>
          <w:tab w:val="center" w:pos="4153"/>
          <w:tab w:val="left" w:pos="7275"/>
        </w:tabs>
        <w:kinsoku/>
        <w:wordWrap/>
        <w:overflowPunct/>
        <w:topLinePunct w:val="0"/>
        <w:autoSpaceDE/>
        <w:autoSpaceDN/>
        <w:bidi w:val="0"/>
        <w:adjustRightInd/>
        <w:snapToGrid/>
        <w:spacing w:beforeAutospacing="0" w:afterAutospacing="0" w:line="594" w:lineRule="exact"/>
        <w:jc w:val="lef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5. 开展残疾人康复、扶贫、教育、文化、体育、福利、劳动就业、社会服务、辅助器具供应、法律援助服务、无障碍设施和残疾预防工作，创造良好的环境和条件，扶助残疾人平等参与社会生活。 </w:t>
      </w:r>
    </w:p>
    <w:p>
      <w:pPr>
        <w:pStyle w:val="12"/>
        <w:keepNext w:val="0"/>
        <w:keepLines w:val="0"/>
        <w:pageBreakBefore w:val="0"/>
        <w:widowControl/>
        <w:tabs>
          <w:tab w:val="center" w:pos="4153"/>
          <w:tab w:val="left" w:pos="7275"/>
        </w:tabs>
        <w:kinsoku/>
        <w:wordWrap/>
        <w:overflowPunct/>
        <w:topLinePunct w:val="0"/>
        <w:autoSpaceDE/>
        <w:autoSpaceDN/>
        <w:bidi w:val="0"/>
        <w:adjustRightInd/>
        <w:snapToGrid/>
        <w:spacing w:beforeAutospacing="0" w:afterAutospacing="0" w:line="594" w:lineRule="exact"/>
        <w:jc w:val="lef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6. 受政府委托，组织实施残疾人分散按比例就业工作，指导和帮助残疾人集中就业或个体就业，指导监督和宏观管理残联系统的残疾人福利企业，会同有关部门制定并监督实施残疾人福利生产的扶持保护政策。</w:t>
      </w:r>
    </w:p>
    <w:p>
      <w:pPr>
        <w:pStyle w:val="12"/>
        <w:keepNext w:val="0"/>
        <w:keepLines w:val="0"/>
        <w:pageBreakBefore w:val="0"/>
        <w:widowControl/>
        <w:tabs>
          <w:tab w:val="center" w:pos="4153"/>
          <w:tab w:val="left" w:pos="7275"/>
        </w:tabs>
        <w:kinsoku/>
        <w:wordWrap/>
        <w:overflowPunct/>
        <w:topLinePunct w:val="0"/>
        <w:autoSpaceDE/>
        <w:autoSpaceDN/>
        <w:bidi w:val="0"/>
        <w:adjustRightInd/>
        <w:snapToGrid/>
        <w:spacing w:beforeAutospacing="0" w:afterAutospacing="0" w:line="594" w:lineRule="exact"/>
        <w:jc w:val="lef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7. 协助乡镇（街道）考察残联领导班子和做好残联干部的管理工作，对全县乡镇（街道）残联干部和残疾人基层群众组织负责人进行培训。</w:t>
      </w:r>
    </w:p>
    <w:p>
      <w:pPr>
        <w:pStyle w:val="12"/>
        <w:keepNext w:val="0"/>
        <w:keepLines w:val="0"/>
        <w:pageBreakBefore w:val="0"/>
        <w:widowControl/>
        <w:tabs>
          <w:tab w:val="center" w:pos="4153"/>
          <w:tab w:val="left" w:pos="7275"/>
        </w:tabs>
        <w:kinsoku/>
        <w:wordWrap/>
        <w:overflowPunct/>
        <w:topLinePunct w:val="0"/>
        <w:autoSpaceDE/>
        <w:autoSpaceDN/>
        <w:bidi w:val="0"/>
        <w:adjustRightInd/>
        <w:snapToGrid/>
        <w:spacing w:beforeAutospacing="0" w:afterAutospacing="0" w:line="594" w:lineRule="exact"/>
        <w:ind w:left="640" w:firstLine="0" w:firstLineChars="0"/>
        <w:jc w:val="lef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8. 负责《中华人民共和国残疾人证》初审、转报。</w:t>
      </w:r>
    </w:p>
    <w:p>
      <w:pPr>
        <w:pStyle w:val="12"/>
        <w:keepNext w:val="0"/>
        <w:keepLines w:val="0"/>
        <w:pageBreakBefore w:val="0"/>
        <w:widowControl/>
        <w:tabs>
          <w:tab w:val="center" w:pos="4153"/>
          <w:tab w:val="left" w:pos="7275"/>
        </w:tabs>
        <w:kinsoku/>
        <w:wordWrap/>
        <w:overflowPunct/>
        <w:topLinePunct w:val="0"/>
        <w:autoSpaceDE/>
        <w:autoSpaceDN/>
        <w:bidi w:val="0"/>
        <w:adjustRightInd/>
        <w:snapToGrid/>
        <w:spacing w:beforeAutospacing="0" w:afterAutospacing="0" w:line="594" w:lineRule="exact"/>
        <w:ind w:left="640" w:firstLine="0" w:firstLineChars="0"/>
        <w:jc w:val="lef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9. 指导和管理各类残疾人社团组织。</w:t>
      </w:r>
    </w:p>
    <w:p>
      <w:pPr>
        <w:pStyle w:val="12"/>
        <w:keepNext w:val="0"/>
        <w:keepLines w:val="0"/>
        <w:pageBreakBefore w:val="0"/>
        <w:widowControl/>
        <w:tabs>
          <w:tab w:val="center" w:pos="4153"/>
          <w:tab w:val="left" w:pos="7275"/>
        </w:tabs>
        <w:kinsoku/>
        <w:wordWrap/>
        <w:overflowPunct/>
        <w:topLinePunct w:val="0"/>
        <w:autoSpaceDE/>
        <w:autoSpaceDN/>
        <w:bidi w:val="0"/>
        <w:adjustRightInd/>
        <w:snapToGrid/>
        <w:spacing w:beforeAutospacing="0" w:afterAutospacing="0" w:line="594" w:lineRule="exact"/>
        <w:ind w:left="640" w:firstLine="0" w:firstLineChars="0"/>
        <w:jc w:val="lef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10. 统筹开展为残疾人事业募捐活动。</w:t>
      </w:r>
    </w:p>
    <w:p>
      <w:pPr>
        <w:pStyle w:val="12"/>
        <w:keepNext w:val="0"/>
        <w:keepLines w:val="0"/>
        <w:pageBreakBefore w:val="0"/>
        <w:widowControl/>
        <w:tabs>
          <w:tab w:val="center" w:pos="4153"/>
          <w:tab w:val="left" w:pos="7275"/>
        </w:tabs>
        <w:kinsoku/>
        <w:wordWrap/>
        <w:overflowPunct/>
        <w:topLinePunct w:val="0"/>
        <w:autoSpaceDE/>
        <w:autoSpaceDN/>
        <w:bidi w:val="0"/>
        <w:adjustRightInd/>
        <w:snapToGrid/>
        <w:spacing w:beforeAutospacing="0" w:afterAutospacing="0" w:line="594" w:lineRule="exact"/>
        <w:ind w:left="640" w:firstLine="0" w:firstLineChars="0"/>
        <w:jc w:val="lef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11. 开展残疾人事业的对外交流与合作。</w:t>
      </w:r>
    </w:p>
    <w:p>
      <w:pPr>
        <w:pStyle w:val="12"/>
        <w:keepNext w:val="0"/>
        <w:keepLines w:val="0"/>
        <w:pageBreakBefore w:val="0"/>
        <w:widowControl/>
        <w:tabs>
          <w:tab w:val="center" w:pos="4153"/>
          <w:tab w:val="left" w:pos="7275"/>
        </w:tabs>
        <w:kinsoku/>
        <w:wordWrap/>
        <w:overflowPunct/>
        <w:topLinePunct w:val="0"/>
        <w:autoSpaceDE/>
        <w:autoSpaceDN/>
        <w:bidi w:val="0"/>
        <w:adjustRightInd/>
        <w:snapToGrid/>
        <w:spacing w:beforeAutospacing="0" w:afterAutospacing="0" w:line="594" w:lineRule="exact"/>
        <w:ind w:left="640" w:firstLine="0" w:firstLineChars="0"/>
        <w:jc w:val="lef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12. 承担县委、县政府交办的其他工作。</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420"/>
        <w:textAlignment w:val="auto"/>
        <w:rPr>
          <w:rStyle w:val="8"/>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Style w:val="8"/>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（二）机构设置</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420"/>
        <w:textAlignment w:val="auto"/>
        <w:rPr>
          <w:rStyle w:val="8"/>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本单位属一级预算单位，</w:t>
      </w:r>
      <w:r>
        <w:rPr>
          <w:rFonts w:hint="default" w:ascii="Times New Roman" w:hAnsi="Times New Roman" w:eastAsia="仿宋_GB2312" w:cs="Times New Roman"/>
          <w:color w:val="000000" w:themeColor="text1"/>
          <w:sz w:val="32"/>
          <w:szCs w:val="32"/>
          <w14:textFill>
            <w14:solidFill>
              <w14:schemeClr w14:val="tx1"/>
            </w14:solidFill>
          </w14:textFill>
        </w:rPr>
        <w:t>内设2个</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科室</w:t>
      </w:r>
      <w:r>
        <w:rPr>
          <w:rFonts w:hint="default" w:ascii="Times New Roman" w:hAnsi="Times New Roman" w:eastAsia="仿宋_GB2312" w:cs="Times New Roman"/>
          <w:color w:val="000000" w:themeColor="text1"/>
          <w:sz w:val="32"/>
          <w:szCs w:val="32"/>
          <w14:textFill>
            <w14:solidFill>
              <w14:schemeClr w14:val="tx1"/>
            </w14:solidFill>
          </w14:textFill>
        </w:rPr>
        <w:t>，即综合科、业务科。下属事业单位1个，巫溪县残疾人康复就业服务中心</w:t>
      </w:r>
      <w:r>
        <w:rPr>
          <w:rFonts w:hint="default" w:ascii="Times New Roman" w:hAnsi="Times New Roman" w:eastAsia="仿宋_GB2312" w:cs="Times New Roman"/>
          <w:color w:val="000000" w:themeColor="text1"/>
          <w:sz w:val="32"/>
          <w14:textFill>
            <w14:solidFill>
              <w14:schemeClr w14:val="tx1"/>
            </w14:solidFill>
          </w14:textFill>
        </w:rPr>
        <w:t>（二级单位）</w:t>
      </w:r>
      <w:r>
        <w:rPr>
          <w:rFonts w:hint="default" w:ascii="Times New Roman" w:hAnsi="Times New Roman" w:eastAsia="仿宋_GB2312" w:cs="Times New Roman"/>
          <w:color w:val="000000" w:themeColor="text1"/>
          <w:sz w:val="32"/>
          <w:szCs w:val="32"/>
          <w14:textFill>
            <w14:solidFill>
              <w14:schemeClr w14:val="tx1"/>
            </w14:solidFill>
          </w14:textFill>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2"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Style w:val="8"/>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二、</w:t>
      </w:r>
      <w:r>
        <w:rPr>
          <w:rStyle w:val="8"/>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部门</w:t>
      </w:r>
      <w:r>
        <w:rPr>
          <w:rStyle w:val="8"/>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决算</w:t>
      </w:r>
      <w:r>
        <w:rPr>
          <w:rStyle w:val="8"/>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收支</w:t>
      </w:r>
      <w:r>
        <w:rPr>
          <w:rStyle w:val="8"/>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情况说明</w:t>
      </w:r>
    </w:p>
    <w:p>
      <w:pPr>
        <w:pStyle w:val="9"/>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3"/>
        <w:textAlignment w:val="auto"/>
        <w:rPr>
          <w:rFonts w:hint="default" w:ascii="Times New Roman" w:hAnsi="Times New Roman" w:eastAsia="仿宋_GB2312" w:cs="Times New Roman"/>
          <w:b/>
          <w:bCs/>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b/>
          <w:bCs/>
          <w:color w:val="000000" w:themeColor="text1"/>
          <w:sz w:val="32"/>
          <w:szCs w:val="32"/>
          <w:shd w:val="clear" w:color="auto" w:fill="FFFFFF"/>
          <w14:textFill>
            <w14:solidFill>
              <w14:schemeClr w14:val="tx1"/>
            </w14:solidFill>
          </w14:textFill>
        </w:rPr>
        <w:t>（一）收入支出决算总体情况说明。</w:t>
      </w:r>
    </w:p>
    <w:p>
      <w:pPr>
        <w:pStyle w:val="5"/>
        <w:keepNext w:val="0"/>
        <w:keepLines w:val="0"/>
        <w:pageBreakBefore w:val="0"/>
        <w:widowControl/>
        <w:shd w:val="clear" w:color="auto" w:fill="FFFFFF"/>
        <w:kinsoku/>
        <w:wordWrap/>
        <w:overflowPunct/>
        <w:topLinePunct w:val="0"/>
        <w:autoSpaceDN/>
        <w:bidi w:val="0"/>
        <w:adjustRightInd/>
        <w:snapToGrid/>
        <w:spacing w:beforeAutospacing="0" w:afterAutospacing="0" w:line="594" w:lineRule="exact"/>
        <w:ind w:firstLine="642" w:firstLineChars="200"/>
        <w:textAlignment w:val="auto"/>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pPr>
      <w:r>
        <w:rPr>
          <w:rStyle w:val="8"/>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1.总体情况。</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2024年</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度收入总计1535.99万元，支出总计</w:t>
      </w:r>
      <w:r>
        <w:rPr>
          <w:rFonts w:hint="default" w:ascii="Times New Roman" w:hAnsi="Times New Roman" w:eastAsia="仿宋_GB2312" w:cs="Times New Roman"/>
          <w:color w:val="000000" w:themeColor="text1"/>
          <w:sz w:val="32"/>
          <w:szCs w:val="32"/>
          <w14:textFill>
            <w14:solidFill>
              <w14:schemeClr w14:val="tx1"/>
            </w14:solidFill>
          </w14:textFill>
        </w:rPr>
        <w:t>1535.99</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万元。收、支与2023年度相比，减少43.51万元，下降2.8%，</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主要原因是巫溪县残疾人联合会</w:t>
      </w:r>
      <w:r>
        <w:rPr>
          <w:rFonts w:hint="default" w:ascii="Times New Roman" w:hAnsi="Times New Roman" w:eastAsia="方正仿宋_GBK" w:cs="Times New Roman"/>
          <w:sz w:val="32"/>
          <w:szCs w:val="32"/>
          <w:lang w:eastAsia="zh-CN"/>
        </w:rPr>
        <w:t>残疾人事业发展市级补助资金</w:t>
      </w:r>
      <w:r>
        <w:rPr>
          <w:rFonts w:hint="eastAsia" w:ascii="Times New Roman" w:hAnsi="Times New Roman" w:eastAsia="方正仿宋_GBK" w:cs="Times New Roman"/>
          <w:sz w:val="32"/>
          <w:szCs w:val="32"/>
          <w:lang w:eastAsia="zh-CN"/>
        </w:rPr>
        <w:t>收入</w:t>
      </w:r>
      <w:r>
        <w:rPr>
          <w:rFonts w:hint="default" w:ascii="Times New Roman" w:hAnsi="Times New Roman" w:eastAsia="方正仿宋_GBK" w:cs="Times New Roman"/>
          <w:sz w:val="32"/>
          <w:szCs w:val="32"/>
          <w:lang w:eastAsia="zh-CN"/>
        </w:rPr>
        <w:t>较上年减少</w:t>
      </w:r>
      <w:r>
        <w:rPr>
          <w:rFonts w:hint="eastAsia" w:ascii="Times New Roman" w:hAnsi="Times New Roman" w:eastAsia="方正仿宋_GBK" w:cs="Times New Roman"/>
          <w:sz w:val="32"/>
          <w:szCs w:val="32"/>
          <w:lang w:val="en-US" w:eastAsia="zh-CN"/>
        </w:rPr>
        <w:t>127万元，用于残疾儿童康复救助等项目支出较上年减少136.7万元，基本支出较上年增长30.15万元。</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巫溪县残疾人康复就业服务中心为2024年新增预算单位</w:t>
      </w:r>
      <w:r>
        <w:rPr>
          <w:rFonts w:hint="eastAsia"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，收、支</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较上年增长</w:t>
      </w:r>
      <w:r>
        <w:rPr>
          <w:rFonts w:hint="eastAsia"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63.05万元。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2" w:firstLineChars="20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Style w:val="8"/>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2.收入情况。</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2024年</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度收入合计1535.99万元，与2023年度相比，减少43.51万元，下降2.8%，</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主要原因是巫溪县残疾人联合会</w:t>
      </w:r>
      <w:r>
        <w:rPr>
          <w:rFonts w:hint="default" w:ascii="Times New Roman" w:hAnsi="Times New Roman" w:eastAsia="方正仿宋_GBK" w:cs="Times New Roman"/>
          <w:sz w:val="32"/>
          <w:szCs w:val="32"/>
          <w:lang w:eastAsia="zh-CN"/>
        </w:rPr>
        <w:t>残疾人事业发展市级补助资金</w:t>
      </w:r>
      <w:r>
        <w:rPr>
          <w:rFonts w:hint="eastAsia" w:ascii="Times New Roman" w:hAnsi="Times New Roman" w:eastAsia="方正仿宋_GBK" w:cs="Times New Roman"/>
          <w:sz w:val="32"/>
          <w:szCs w:val="32"/>
          <w:lang w:eastAsia="zh-CN"/>
        </w:rPr>
        <w:t>收入</w:t>
      </w:r>
      <w:r>
        <w:rPr>
          <w:rFonts w:hint="default" w:ascii="Times New Roman" w:hAnsi="Times New Roman" w:eastAsia="方正仿宋_GBK" w:cs="Times New Roman"/>
          <w:sz w:val="32"/>
          <w:szCs w:val="32"/>
          <w:lang w:eastAsia="zh-CN"/>
        </w:rPr>
        <w:t>较上年减少</w:t>
      </w:r>
      <w:r>
        <w:rPr>
          <w:rFonts w:hint="eastAsia" w:ascii="Times New Roman" w:hAnsi="Times New Roman" w:eastAsia="方正仿宋_GBK" w:cs="Times New Roman"/>
          <w:sz w:val="32"/>
          <w:szCs w:val="32"/>
          <w:lang w:val="en-US" w:eastAsia="zh-CN"/>
        </w:rPr>
        <w:t>127万元</w:t>
      </w:r>
      <w:r>
        <w:rPr>
          <w:rFonts w:hint="eastAsia"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巫溪县残疾人康复就业服务中心为2024年新增预算单位，</w:t>
      </w:r>
      <w:r>
        <w:rPr>
          <w:rFonts w:hint="eastAsia"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收入</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较上年增长</w:t>
      </w:r>
      <w:r>
        <w:rPr>
          <w:rFonts w:hint="eastAsia"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63.05万元</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其中：财政拨款收入</w:t>
      </w:r>
      <w:r>
        <w:rPr>
          <w:rFonts w:hint="default" w:ascii="Times New Roman" w:hAnsi="Times New Roman" w:eastAsia="仿宋_GB2312" w:cs="Times New Roman"/>
          <w:color w:val="000000" w:themeColor="text1"/>
          <w:sz w:val="32"/>
          <w:szCs w:val="32"/>
          <w14:textFill>
            <w14:solidFill>
              <w14:schemeClr w14:val="tx1"/>
            </w14:solidFill>
          </w14:textFill>
        </w:rPr>
        <w:t>1535.99</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万元，占</w:t>
      </w:r>
      <w:r>
        <w:rPr>
          <w:rFonts w:hint="default" w:ascii="Times New Roman" w:hAnsi="Times New Roman" w:eastAsia="仿宋_GB2312" w:cs="Times New Roman"/>
          <w:color w:val="000000" w:themeColor="text1"/>
          <w:sz w:val="32"/>
          <w:szCs w:val="32"/>
          <w14:textFill>
            <w14:solidFill>
              <w14:schemeClr w14:val="tx1"/>
            </w14:solidFill>
          </w14:textFill>
        </w:rPr>
        <w:t>100.00</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%；事业收入</w:t>
      </w:r>
      <w:r>
        <w:rPr>
          <w:rFonts w:hint="default" w:ascii="Times New Roman" w:hAnsi="Times New Roman" w:eastAsia="仿宋_GB2312" w:cs="Times New Roman"/>
          <w:color w:val="000000" w:themeColor="text1"/>
          <w:sz w:val="32"/>
          <w:szCs w:val="32"/>
          <w14:textFill>
            <w14:solidFill>
              <w14:schemeClr w14:val="tx1"/>
            </w14:solidFill>
          </w14:textFill>
        </w:rPr>
        <w:t>0.00</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万元，占0.00%；经营收入</w:t>
      </w:r>
      <w:r>
        <w:rPr>
          <w:rFonts w:hint="default" w:ascii="Times New Roman" w:hAnsi="Times New Roman" w:eastAsia="仿宋_GB2312" w:cs="Times New Roman"/>
          <w:color w:val="000000" w:themeColor="text1"/>
          <w:sz w:val="32"/>
          <w:szCs w:val="32"/>
          <w14:textFill>
            <w14:solidFill>
              <w14:schemeClr w14:val="tx1"/>
            </w14:solidFill>
          </w14:textFill>
        </w:rPr>
        <w:t>0.00</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万元，占0.00%；其他收入</w:t>
      </w:r>
      <w:r>
        <w:rPr>
          <w:rFonts w:hint="default" w:ascii="Times New Roman" w:hAnsi="Times New Roman" w:eastAsia="仿宋_GB2312" w:cs="Times New Roman"/>
          <w:color w:val="000000" w:themeColor="text1"/>
          <w:sz w:val="32"/>
          <w:szCs w:val="32"/>
          <w14:textFill>
            <w14:solidFill>
              <w14:schemeClr w14:val="tx1"/>
            </w14:solidFill>
          </w14:textFill>
        </w:rPr>
        <w:t>0.00</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万元，占0.00%。此外，使用非财政拨款结余和专用结余</w:t>
      </w:r>
      <w:r>
        <w:rPr>
          <w:rFonts w:hint="default" w:ascii="Times New Roman" w:hAnsi="Times New Roman" w:eastAsia="仿宋_GB2312" w:cs="Times New Roman"/>
          <w:color w:val="000000" w:themeColor="text1"/>
          <w:sz w:val="32"/>
          <w:szCs w:val="32"/>
          <w14:textFill>
            <w14:solidFill>
              <w14:schemeClr w14:val="tx1"/>
            </w14:solidFill>
          </w14:textFill>
        </w:rPr>
        <w:t>0.00</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万元，年初结转和结余</w:t>
      </w:r>
      <w:r>
        <w:rPr>
          <w:rFonts w:hint="default" w:ascii="Times New Roman" w:hAnsi="Times New Roman" w:eastAsia="仿宋_GB2312" w:cs="Times New Roman"/>
          <w:color w:val="000000" w:themeColor="text1"/>
          <w:sz w:val="32"/>
          <w:szCs w:val="32"/>
          <w14:textFill>
            <w14:solidFill>
              <w14:schemeClr w14:val="tx1"/>
            </w14:solidFill>
          </w14:textFill>
        </w:rPr>
        <w:t>0.00</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万元。</w:t>
      </w:r>
    </w:p>
    <w:p>
      <w:pPr>
        <w:pStyle w:val="5"/>
        <w:keepNext w:val="0"/>
        <w:keepLines w:val="0"/>
        <w:pageBreakBefore w:val="0"/>
        <w:widowControl/>
        <w:shd w:val="clear" w:color="auto" w:fill="FFFFFF"/>
        <w:kinsoku/>
        <w:wordWrap/>
        <w:overflowPunct/>
        <w:topLinePunct w:val="0"/>
        <w:autoSpaceDN/>
        <w:bidi w:val="0"/>
        <w:adjustRightInd/>
        <w:snapToGrid/>
        <w:spacing w:beforeAutospacing="0" w:afterAutospacing="0" w:line="594" w:lineRule="exact"/>
        <w:ind w:firstLine="642" w:firstLineChars="200"/>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Style w:val="8"/>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3.支出情况。</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2024年</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度支出合计</w:t>
      </w:r>
      <w:r>
        <w:rPr>
          <w:rFonts w:hint="default" w:ascii="Times New Roman" w:hAnsi="Times New Roman" w:eastAsia="仿宋_GB2312" w:cs="Times New Roman"/>
          <w:color w:val="000000" w:themeColor="text1"/>
          <w:sz w:val="32"/>
          <w:szCs w:val="32"/>
          <w14:textFill>
            <w14:solidFill>
              <w14:schemeClr w14:val="tx1"/>
            </w14:solidFill>
          </w14:textFill>
        </w:rPr>
        <w:t>1535.99</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万元，与2023年度相比，减少43.51万元，下降2.8%，主要原因是</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巫溪县残疾人联合会</w:t>
      </w:r>
      <w:r>
        <w:rPr>
          <w:rFonts w:hint="eastAsia"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残疾儿童康复救助等项目支出较上年减少136.7万元</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Times New Roman"/>
          <w:sz w:val="32"/>
          <w:szCs w:val="32"/>
          <w:lang w:val="en-US" w:eastAsia="zh-CN"/>
        </w:rPr>
        <w:t>基本支出较上年增长30.15万元，</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巫溪县残疾人康复就业服务中心为2024年新增预算单位，</w:t>
      </w:r>
      <w:r>
        <w:rPr>
          <w:rFonts w:hint="eastAsia"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支出</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63.05万元，</w:t>
      </w:r>
      <w:r>
        <w:rPr>
          <w:rFonts w:hint="eastAsia"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故总体支出减少43.51万元</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其中：基本支出</w:t>
      </w:r>
      <w:r>
        <w:rPr>
          <w:rFonts w:hint="default" w:ascii="Times New Roman" w:hAnsi="Times New Roman" w:eastAsia="仿宋_GB2312" w:cs="Times New Roman"/>
          <w:color w:val="000000" w:themeColor="text1"/>
          <w:sz w:val="32"/>
          <w:szCs w:val="32"/>
          <w14:textFill>
            <w14:solidFill>
              <w14:schemeClr w14:val="tx1"/>
            </w14:solidFill>
          </w14:textFill>
        </w:rPr>
        <w:t>252.53</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万元，占16.44%；项目支出</w:t>
      </w:r>
      <w:r>
        <w:rPr>
          <w:rFonts w:hint="default" w:ascii="Times New Roman" w:hAnsi="Times New Roman" w:eastAsia="仿宋_GB2312" w:cs="Times New Roman"/>
          <w:color w:val="000000" w:themeColor="text1"/>
          <w:sz w:val="32"/>
          <w:szCs w:val="32"/>
          <w14:textFill>
            <w14:solidFill>
              <w14:schemeClr w14:val="tx1"/>
            </w14:solidFill>
          </w14:textFill>
        </w:rPr>
        <w:t>1283.46</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万元，占83.56%；经营支出</w:t>
      </w:r>
      <w:r>
        <w:rPr>
          <w:rFonts w:hint="default" w:ascii="Times New Roman" w:hAnsi="Times New Roman" w:eastAsia="仿宋_GB2312" w:cs="Times New Roman"/>
          <w:color w:val="000000" w:themeColor="text1"/>
          <w:sz w:val="32"/>
          <w:szCs w:val="32"/>
          <w14:textFill>
            <w14:solidFill>
              <w14:schemeClr w14:val="tx1"/>
            </w14:solidFill>
          </w14:textFill>
        </w:rPr>
        <w:t>0.00</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万元，占0.00%。此外，结余分配</w:t>
      </w:r>
      <w:r>
        <w:rPr>
          <w:rFonts w:hint="default" w:ascii="Times New Roman" w:hAnsi="Times New Roman" w:eastAsia="仿宋_GB2312" w:cs="Times New Roman"/>
          <w:color w:val="000000" w:themeColor="text1"/>
          <w:sz w:val="32"/>
          <w:szCs w:val="32"/>
          <w14:textFill>
            <w14:solidFill>
              <w14:schemeClr w14:val="tx1"/>
            </w14:solidFill>
          </w14:textFill>
        </w:rPr>
        <w:t>0.00</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2" w:firstLineChars="200"/>
        <w:jc w:val="both"/>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Style w:val="8"/>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4.结转结余情况。</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2024年</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度年末结转和结余</w:t>
      </w:r>
      <w:r>
        <w:rPr>
          <w:rFonts w:hint="default" w:ascii="Times New Roman" w:hAnsi="Times New Roman" w:eastAsia="仿宋_GB2312" w:cs="Times New Roman"/>
          <w:color w:val="000000" w:themeColor="text1"/>
          <w:sz w:val="32"/>
          <w:szCs w:val="32"/>
          <w14:textFill>
            <w14:solidFill>
              <w14:schemeClr w14:val="tx1"/>
            </w14:solidFill>
          </w14:textFill>
        </w:rPr>
        <w:t>0.00</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万元，与2023年度相比，无增减</w:t>
      </w:r>
      <w:r>
        <w:rPr>
          <w:rFonts w:hint="eastAsia"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w:t>
      </w:r>
    </w:p>
    <w:p>
      <w:pPr>
        <w:pStyle w:val="9"/>
        <w:keepNext w:val="0"/>
        <w:keepLines w:val="0"/>
        <w:pageBreakBefore w:val="0"/>
        <w:widowControl/>
        <w:kinsoku/>
        <w:wordWrap/>
        <w:overflowPunct/>
        <w:topLinePunct w:val="0"/>
        <w:autoSpaceDE w:val="0"/>
        <w:autoSpaceDN/>
        <w:bidi w:val="0"/>
        <w:adjustRightInd/>
        <w:spacing w:line="594" w:lineRule="exact"/>
        <w:ind w:firstLine="643"/>
        <w:textAlignment w:val="auto"/>
        <w:rPr>
          <w:rFonts w:hint="default" w:ascii="Times New Roman" w:hAnsi="Times New Roman" w:eastAsia="仿宋_GB2312" w:cs="Times New Roman"/>
          <w:b/>
          <w:bCs/>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b/>
          <w:bCs/>
          <w:color w:val="000000" w:themeColor="text1"/>
          <w:sz w:val="32"/>
          <w:szCs w:val="32"/>
          <w:shd w:val="clear" w:color="auto" w:fill="FFFFFF"/>
          <w14:textFill>
            <w14:solidFill>
              <w14:schemeClr w14:val="tx1"/>
            </w14:solidFill>
          </w14:textFill>
        </w:rPr>
        <w:t>（二）财政拨款收入支出决算总体情况说明</w:t>
      </w:r>
    </w:p>
    <w:p>
      <w:pPr>
        <w:pStyle w:val="5"/>
        <w:keepNext w:val="0"/>
        <w:keepLines w:val="0"/>
        <w:pageBreakBefore w:val="0"/>
        <w:widowControl/>
        <w:shd w:val="clear" w:color="auto" w:fill="FFFFFF"/>
        <w:kinsoku/>
        <w:wordWrap/>
        <w:overflowPunct/>
        <w:topLinePunct w:val="0"/>
        <w:autoSpaceDN/>
        <w:bidi w:val="0"/>
        <w:adjustRightInd/>
        <w:snapToGrid/>
        <w:spacing w:beforeAutospacing="0" w:afterAutospacing="0" w:line="594"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2024年</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度财政拨款收、支总计1535.99万元。与202</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年相比，财政拨款收、支总计各减少43.51万元，下降2.8%。主要原因是</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巫溪县残疾人联合会</w:t>
      </w:r>
      <w:r>
        <w:rPr>
          <w:rFonts w:hint="default" w:ascii="Times New Roman" w:hAnsi="Times New Roman" w:eastAsia="方正仿宋_GBK" w:cs="Times New Roman"/>
          <w:sz w:val="32"/>
          <w:szCs w:val="32"/>
          <w:lang w:eastAsia="zh-CN"/>
        </w:rPr>
        <w:t>残疾人事业发展市级补助资金</w:t>
      </w:r>
      <w:r>
        <w:rPr>
          <w:rFonts w:hint="eastAsia" w:ascii="Times New Roman" w:hAnsi="Times New Roman" w:eastAsia="方正仿宋_GBK" w:cs="Times New Roman"/>
          <w:sz w:val="32"/>
          <w:szCs w:val="32"/>
          <w:lang w:eastAsia="zh-CN"/>
        </w:rPr>
        <w:t>收入</w:t>
      </w:r>
      <w:r>
        <w:rPr>
          <w:rFonts w:hint="default" w:ascii="Times New Roman" w:hAnsi="Times New Roman" w:eastAsia="方正仿宋_GBK" w:cs="Times New Roman"/>
          <w:sz w:val="32"/>
          <w:szCs w:val="32"/>
          <w:lang w:eastAsia="zh-CN"/>
        </w:rPr>
        <w:t>较上年减少</w:t>
      </w:r>
      <w:r>
        <w:rPr>
          <w:rFonts w:hint="eastAsia" w:ascii="Times New Roman" w:hAnsi="Times New Roman" w:eastAsia="方正仿宋_GBK" w:cs="Times New Roman"/>
          <w:sz w:val="32"/>
          <w:szCs w:val="32"/>
          <w:lang w:val="en-US" w:eastAsia="zh-CN"/>
        </w:rPr>
        <w:t>127万元，残疾儿童康复救助等项目支出较上年减少136.7万元，基本支出较上年增长30.15万元，</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巫溪县残疾人康复就业服务中心为2024年新增预算单位</w:t>
      </w:r>
      <w:r>
        <w:rPr>
          <w:rFonts w:hint="eastAsia"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，收、支</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较上年增长</w:t>
      </w:r>
      <w:r>
        <w:rPr>
          <w:rFonts w:hint="eastAsia"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63.05万元</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故总体收、支减少43.51万元</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w:t>
      </w:r>
    </w:p>
    <w:p>
      <w:pPr>
        <w:pStyle w:val="9"/>
        <w:keepNext w:val="0"/>
        <w:keepLines w:val="0"/>
        <w:pageBreakBefore w:val="0"/>
        <w:widowControl/>
        <w:kinsoku/>
        <w:wordWrap/>
        <w:overflowPunct/>
        <w:topLinePunct w:val="0"/>
        <w:autoSpaceDE w:val="0"/>
        <w:autoSpaceDN/>
        <w:bidi w:val="0"/>
        <w:adjustRightInd/>
        <w:spacing w:line="594" w:lineRule="exact"/>
        <w:ind w:firstLine="643"/>
        <w:textAlignment w:val="auto"/>
        <w:rPr>
          <w:rFonts w:hint="default" w:ascii="Times New Roman" w:hAnsi="Times New Roman" w:eastAsia="仿宋_GB2312" w:cs="Times New Roman"/>
          <w:b/>
          <w:bCs/>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b/>
          <w:bCs/>
          <w:color w:val="000000" w:themeColor="text1"/>
          <w:sz w:val="32"/>
          <w:szCs w:val="32"/>
          <w:shd w:val="clear" w:color="auto" w:fill="FFFFFF"/>
          <w14:textFill>
            <w14:solidFill>
              <w14:schemeClr w14:val="tx1"/>
            </w14:solidFill>
          </w14:textFill>
        </w:rPr>
        <w:t>（三）一般公共预算财政拨款收入支出决算情况说明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2"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Style w:val="8"/>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1.收入情况。</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2024年</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度一般公共预算财政拨款收入</w:t>
      </w:r>
      <w:r>
        <w:rPr>
          <w:rFonts w:hint="default" w:ascii="Times New Roman" w:hAnsi="Times New Roman" w:eastAsia="仿宋_GB2312" w:cs="Times New Roman"/>
          <w:color w:val="000000" w:themeColor="text1"/>
          <w:sz w:val="32"/>
          <w:szCs w:val="32"/>
          <w14:textFill>
            <w14:solidFill>
              <w14:schemeClr w14:val="tx1"/>
            </w14:solidFill>
          </w14:textFill>
        </w:rPr>
        <w:t>1356.89</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万元，与2023年度相比，减少61.61万元，下降4.3%。主要原因是</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巫溪县残疾人联合会</w:t>
      </w:r>
      <w:r>
        <w:rPr>
          <w:rFonts w:hint="default" w:ascii="Times New Roman" w:hAnsi="Times New Roman" w:eastAsia="方正仿宋_GBK" w:cs="Times New Roman"/>
          <w:sz w:val="32"/>
          <w:szCs w:val="32"/>
          <w:lang w:eastAsia="zh-CN"/>
        </w:rPr>
        <w:t>残疾人事业发展市级补助资金较上年减少</w:t>
      </w:r>
      <w:r>
        <w:rPr>
          <w:rFonts w:hint="default" w:ascii="Times New Roman" w:hAnsi="Times New Roman" w:eastAsia="方正仿宋_GBK" w:cs="Times New Roman"/>
          <w:sz w:val="32"/>
          <w:szCs w:val="32"/>
          <w:lang w:val="en-US" w:eastAsia="zh-CN"/>
        </w:rPr>
        <w:t>127万元</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，巫溪县残疾人康复就业服务中心为2024年新增预算单位，财政拨款收入63.05万元</w:t>
      </w:r>
      <w:r>
        <w:rPr>
          <w:rFonts w:hint="eastAsia"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。故</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一般公共预算财政拨款收入减少61.61万元</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。较</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年初预算数增加101.32万元，增长8.1%。主要原因是</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巫溪县残疾人联合会</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2024年年中追加残疾人事业发展中央补助、市级补助资金。</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此外，年初财政拨款结转和结余</w:t>
      </w:r>
      <w:r>
        <w:rPr>
          <w:rFonts w:hint="default" w:ascii="Times New Roman" w:hAnsi="Times New Roman" w:eastAsia="仿宋_GB2312" w:cs="Times New Roman"/>
          <w:color w:val="000000" w:themeColor="text1"/>
          <w:sz w:val="32"/>
          <w:szCs w:val="32"/>
          <w14:textFill>
            <w14:solidFill>
              <w14:schemeClr w14:val="tx1"/>
            </w14:solidFill>
          </w14:textFill>
        </w:rPr>
        <w:t>0.00</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2"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Style w:val="8"/>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2.支出情况。</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2024年</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度一般公共预算财政拨款支出</w:t>
      </w:r>
      <w:r>
        <w:rPr>
          <w:rFonts w:hint="default" w:ascii="Times New Roman" w:hAnsi="Times New Roman" w:eastAsia="仿宋_GB2312" w:cs="Times New Roman"/>
          <w:color w:val="000000" w:themeColor="text1"/>
          <w:sz w:val="32"/>
          <w:szCs w:val="32"/>
          <w14:textFill>
            <w14:solidFill>
              <w14:schemeClr w14:val="tx1"/>
            </w14:solidFill>
          </w14:textFill>
        </w:rPr>
        <w:t>1356.89</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万元，与2023年度相比，减少61.61万元，下降4.3%。主要原因是</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巫溪县残疾人联合会</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2024年残疾儿童康复救助</w:t>
      </w:r>
      <w:r>
        <w:rPr>
          <w:rFonts w:hint="eastAsia"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等</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项目</w:t>
      </w:r>
      <w:r>
        <w:rPr>
          <w:rFonts w:hint="eastAsia"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支出</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较上年减少。</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较年初预算数增加101.32万元，增长8.1%。主要原因是</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巫溪县残疾人联合会</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2024年年中追加残疾人事业发展中央补助、市级补助资金。</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2" w:firstLineChars="200"/>
        <w:jc w:val="both"/>
        <w:textAlignment w:val="auto"/>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pPr>
      <w:r>
        <w:rPr>
          <w:rStyle w:val="8"/>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3.结转结余情况。</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2024年</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度年末一般公共预算财政拨款结转和结余</w:t>
      </w:r>
      <w:r>
        <w:rPr>
          <w:rFonts w:hint="default" w:ascii="Times New Roman" w:hAnsi="Times New Roman" w:eastAsia="仿宋_GB2312" w:cs="Times New Roman"/>
          <w:color w:val="000000" w:themeColor="text1"/>
          <w:sz w:val="32"/>
          <w:szCs w:val="32"/>
          <w14:textFill>
            <w14:solidFill>
              <w14:schemeClr w14:val="tx1"/>
            </w14:solidFill>
          </w14:textFill>
        </w:rPr>
        <w:t>0.00</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万元，与2023年度相比，无增减</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2" w:firstLineChars="20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Style w:val="8"/>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 xml:space="preserve"> 4.比较情况。</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本部门</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2024年</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度一般公共预算财政拨款支出主要用于以下几个方面：</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）社会保障与就业支出</w:t>
      </w:r>
      <w:r>
        <w:rPr>
          <w:rFonts w:hint="default" w:ascii="Times New Roman" w:hAnsi="Times New Roman" w:eastAsia="仿宋_GB2312" w:cs="Times New Roman"/>
          <w:color w:val="000000" w:themeColor="text1"/>
          <w:sz w:val="32"/>
          <w:szCs w:val="32"/>
          <w14:textFill>
            <w14:solidFill>
              <w14:schemeClr w14:val="tx1"/>
            </w14:solidFill>
          </w14:textFill>
        </w:rPr>
        <w:t>1330.35</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万元，占</w:t>
      </w:r>
      <w:r>
        <w:rPr>
          <w:rFonts w:hint="default" w:ascii="Times New Roman" w:hAnsi="Times New Roman" w:eastAsia="仿宋_GB2312" w:cs="Times New Roman"/>
          <w:color w:val="000000" w:themeColor="text1"/>
          <w:sz w:val="32"/>
          <w:szCs w:val="32"/>
          <w14:textFill>
            <w14:solidFill>
              <w14:schemeClr w14:val="tx1"/>
            </w14:solidFill>
          </w14:textFill>
        </w:rPr>
        <w:t>98.04</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%，较年初预算数增加101.32万元，增长8.2%，主要原因是</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巫溪县残疾人联合会</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2024年年中追加残疾人事业发展中央补助、市级补助资金</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，主要用于残疾人家庭无障碍改造、残疾人居家托养项目</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）卫生健康支出</w:t>
      </w:r>
      <w:r>
        <w:rPr>
          <w:rFonts w:hint="default" w:ascii="Times New Roman" w:hAnsi="Times New Roman" w:eastAsia="仿宋_GB2312" w:cs="Times New Roman"/>
          <w:color w:val="000000" w:themeColor="text1"/>
          <w:sz w:val="32"/>
          <w:szCs w:val="32"/>
          <w14:textFill>
            <w14:solidFill>
              <w14:schemeClr w14:val="tx1"/>
            </w14:solidFill>
          </w14:textFill>
        </w:rPr>
        <w:t>11.58</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万元，占</w:t>
      </w:r>
      <w:r>
        <w:rPr>
          <w:rFonts w:hint="default" w:ascii="Times New Roman" w:hAnsi="Times New Roman" w:eastAsia="仿宋_GB2312" w:cs="Times New Roman"/>
          <w:color w:val="000000" w:themeColor="text1"/>
          <w:sz w:val="32"/>
          <w:szCs w:val="32"/>
          <w14:textFill>
            <w14:solidFill>
              <w14:schemeClr w14:val="tx1"/>
            </w14:solidFill>
          </w14:textFill>
        </w:rPr>
        <w:t>0.85</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%，较年初预算数无增减</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w:t>
      </w:r>
    </w:p>
    <w:p>
      <w:pPr>
        <w:keepNext w:val="0"/>
        <w:keepLines w:val="0"/>
        <w:pageBreakBefore w:val="0"/>
        <w:widowControl/>
        <w:kinsoku/>
        <w:wordWrap/>
        <w:overflowPunct/>
        <w:topLinePunct w:val="0"/>
        <w:autoSpaceDN/>
        <w:bidi w:val="0"/>
        <w:adjustRightInd/>
        <w:spacing w:line="594" w:lineRule="exact"/>
        <w:ind w:firstLine="640" w:firstLineChars="200"/>
        <w:textAlignment w:val="auto"/>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（19）</w:t>
      </w:r>
      <w:r>
        <w:rPr>
          <w:rFonts w:hint="default" w:ascii="Times New Roman" w:hAnsi="Times New Roman" w:eastAsia="仿宋_GB2312" w:cs="Times New Roman"/>
          <w:color w:val="000000" w:themeColor="text1"/>
          <w:sz w:val="32"/>
          <w:szCs w:val="32"/>
          <w14:textFill>
            <w14:solidFill>
              <w14:schemeClr w14:val="tx1"/>
            </w14:solidFill>
          </w14:textFill>
        </w:rPr>
        <w:t>住房保障支出14.97</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万元，占</w:t>
      </w:r>
      <w:r>
        <w:rPr>
          <w:rFonts w:hint="default" w:ascii="Times New Roman" w:hAnsi="Times New Roman" w:eastAsia="仿宋_GB2312" w:cs="Times New Roman"/>
          <w:color w:val="000000" w:themeColor="text1"/>
          <w:sz w:val="32"/>
          <w:szCs w:val="32"/>
          <w14:textFill>
            <w14:solidFill>
              <w14:schemeClr w14:val="tx1"/>
            </w14:solidFill>
          </w14:textFill>
        </w:rPr>
        <w:t>1.10</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%，较年初预算数无增减</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w:t>
      </w:r>
    </w:p>
    <w:p>
      <w:pPr>
        <w:pStyle w:val="9"/>
        <w:keepNext w:val="0"/>
        <w:keepLines w:val="0"/>
        <w:pageBreakBefore w:val="0"/>
        <w:widowControl/>
        <w:kinsoku/>
        <w:wordWrap/>
        <w:overflowPunct/>
        <w:topLinePunct w:val="0"/>
        <w:autoSpaceDE w:val="0"/>
        <w:autoSpaceDN/>
        <w:bidi w:val="0"/>
        <w:adjustRightInd/>
        <w:spacing w:line="594" w:lineRule="exact"/>
        <w:ind w:firstLine="643"/>
        <w:textAlignment w:val="auto"/>
        <w:rPr>
          <w:rFonts w:hint="default" w:ascii="Times New Roman" w:hAnsi="Times New Roman" w:eastAsia="仿宋_GB2312" w:cs="Times New Roman"/>
          <w:b/>
          <w:bCs/>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b/>
          <w:bCs/>
          <w:color w:val="000000" w:themeColor="text1"/>
          <w:sz w:val="32"/>
          <w:szCs w:val="32"/>
          <w:shd w:val="clear" w:color="auto" w:fill="FFFFFF"/>
          <w14:textFill>
            <w14:solidFill>
              <w14:schemeClr w14:val="tx1"/>
            </w14:solidFill>
          </w14:textFill>
        </w:rPr>
        <w:t>（四）一般公共预算财政拨款基本支出决算情况说明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 </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2024年</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度一般公共财政拨款基本支出</w:t>
      </w:r>
      <w:r>
        <w:rPr>
          <w:rFonts w:hint="default" w:ascii="Times New Roman" w:hAnsi="Times New Roman" w:eastAsia="仿宋_GB2312" w:cs="Times New Roman"/>
          <w:color w:val="000000" w:themeColor="text1"/>
          <w:sz w:val="32"/>
          <w:szCs w:val="32"/>
          <w14:textFill>
            <w14:solidFill>
              <w14:schemeClr w14:val="tx1"/>
            </w14:solidFill>
          </w14:textFill>
        </w:rPr>
        <w:t>252.53</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万元。其中：人员经费</w:t>
      </w:r>
      <w:r>
        <w:rPr>
          <w:rFonts w:hint="default" w:ascii="Times New Roman" w:hAnsi="Times New Roman" w:eastAsia="仿宋_GB2312" w:cs="Times New Roman"/>
          <w:color w:val="000000" w:themeColor="text1"/>
          <w:sz w:val="32"/>
          <w:szCs w:val="32"/>
          <w14:textFill>
            <w14:solidFill>
              <w14:schemeClr w14:val="tx1"/>
            </w14:solidFill>
          </w14:textFill>
        </w:rPr>
        <w:t>220.15</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万元，与2023年度相比，增加84.23万元，增长62.0%，主要原因是</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2024年将2023年新招录参公人员1名、新招录事业人员2名，新调入事业人员1名纳入年初预算。</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人员经费用途主要包括</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在职及离退休人员的基本工资、津贴补贴、职工福利费及社会保险缴费等。</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公用经费</w:t>
      </w:r>
      <w:r>
        <w:rPr>
          <w:rFonts w:hint="default" w:ascii="Times New Roman" w:hAnsi="Times New Roman" w:eastAsia="仿宋_GB2312" w:cs="Times New Roman"/>
          <w:color w:val="000000" w:themeColor="text1"/>
          <w:sz w:val="32"/>
          <w:szCs w:val="32"/>
          <w14:textFill>
            <w14:solidFill>
              <w14:schemeClr w14:val="tx1"/>
            </w14:solidFill>
          </w14:textFill>
        </w:rPr>
        <w:t>32.39</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万元，与2023年度相比，增加8.98万元，增长38.4%，主要原因是</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办公费较上年增长。</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公用经费用途主要包括</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办公费、水电费、差旅费等。</w:t>
      </w:r>
    </w:p>
    <w:p>
      <w:pPr>
        <w:pStyle w:val="9"/>
        <w:keepNext w:val="0"/>
        <w:keepLines w:val="0"/>
        <w:pageBreakBefore w:val="0"/>
        <w:widowControl/>
        <w:kinsoku/>
        <w:wordWrap/>
        <w:overflowPunct/>
        <w:topLinePunct w:val="0"/>
        <w:autoSpaceDE w:val="0"/>
        <w:autoSpaceDN/>
        <w:bidi w:val="0"/>
        <w:adjustRightInd/>
        <w:spacing w:line="594" w:lineRule="exact"/>
        <w:ind w:firstLine="643"/>
        <w:textAlignment w:val="auto"/>
        <w:rPr>
          <w:rFonts w:hint="default" w:ascii="Times New Roman" w:hAnsi="Times New Roman" w:eastAsia="仿宋_GB2312" w:cs="Times New Roman"/>
          <w:b/>
          <w:bCs/>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b/>
          <w:bCs/>
          <w:color w:val="000000" w:themeColor="text1"/>
          <w:sz w:val="32"/>
          <w:szCs w:val="32"/>
          <w:shd w:val="clear" w:color="auto" w:fill="FFFFFF"/>
          <w14:textFill>
            <w14:solidFill>
              <w14:schemeClr w14:val="tx1"/>
            </w14:solidFill>
          </w14:textFill>
        </w:rPr>
        <w:t>（五）政府性基金预算收支决算情况说明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2024年</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度政府性基金预算财政拨款年初结转结余</w:t>
      </w:r>
      <w:r>
        <w:rPr>
          <w:rFonts w:hint="default" w:ascii="Times New Roman" w:hAnsi="Times New Roman" w:eastAsia="仿宋_GB2312" w:cs="Times New Roman"/>
          <w:color w:val="000000" w:themeColor="text1"/>
          <w:sz w:val="32"/>
          <w:szCs w:val="32"/>
          <w14:textFill>
            <w14:solidFill>
              <w14:schemeClr w14:val="tx1"/>
            </w14:solidFill>
          </w14:textFill>
        </w:rPr>
        <w:t>0.00</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万元，年末结转结余</w:t>
      </w:r>
      <w:r>
        <w:rPr>
          <w:rFonts w:hint="default" w:ascii="Times New Roman" w:hAnsi="Times New Roman" w:eastAsia="仿宋_GB2312" w:cs="Times New Roman"/>
          <w:color w:val="000000" w:themeColor="text1"/>
          <w:sz w:val="32"/>
          <w:szCs w:val="32"/>
          <w14:textFill>
            <w14:solidFill>
              <w14:schemeClr w14:val="tx1"/>
            </w14:solidFill>
          </w14:textFill>
        </w:rPr>
        <w:t>0.00</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万元。本年收入</w:t>
      </w:r>
      <w:r>
        <w:rPr>
          <w:rFonts w:hint="default" w:ascii="Times New Roman" w:hAnsi="Times New Roman" w:eastAsia="仿宋_GB2312" w:cs="Times New Roman"/>
          <w:color w:val="000000" w:themeColor="text1"/>
          <w:sz w:val="32"/>
          <w:szCs w:val="32"/>
          <w14:textFill>
            <w14:solidFill>
              <w14:schemeClr w14:val="tx1"/>
            </w14:solidFill>
          </w14:textFill>
        </w:rPr>
        <w:t>179.10</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万元，与2023年度相比，增加18.10万元，增长11.2%，主要原因是</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中央彩票公益金较上年增长。</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本年支出</w:t>
      </w:r>
      <w:r>
        <w:rPr>
          <w:rFonts w:hint="default" w:ascii="Times New Roman" w:hAnsi="Times New Roman" w:eastAsia="仿宋_GB2312" w:cs="Times New Roman"/>
          <w:color w:val="000000" w:themeColor="text1"/>
          <w:sz w:val="32"/>
          <w:szCs w:val="32"/>
          <w14:textFill>
            <w14:solidFill>
              <w14:schemeClr w14:val="tx1"/>
            </w14:solidFill>
          </w14:textFill>
        </w:rPr>
        <w:t>179.10</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万元，与2023年度相比，增加18.10万元，增长11.2%，主要原因是</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中央彩票公益金较上年增长，主要用于困难重度残疾人家庭无障碍改造。</w:t>
      </w:r>
    </w:p>
    <w:p>
      <w:pPr>
        <w:pStyle w:val="9"/>
        <w:keepNext w:val="0"/>
        <w:keepLines w:val="0"/>
        <w:pageBreakBefore w:val="0"/>
        <w:widowControl/>
        <w:kinsoku/>
        <w:wordWrap/>
        <w:overflowPunct/>
        <w:topLinePunct w:val="0"/>
        <w:autoSpaceDE w:val="0"/>
        <w:autoSpaceDN/>
        <w:bidi w:val="0"/>
        <w:adjustRightInd/>
        <w:spacing w:line="594" w:lineRule="exact"/>
        <w:ind w:firstLine="643"/>
        <w:textAlignment w:val="auto"/>
        <w:rPr>
          <w:rFonts w:hint="default" w:ascii="Times New Roman" w:hAnsi="Times New Roman" w:eastAsia="仿宋_GB2312" w:cs="Times New Roman"/>
          <w:b/>
          <w:bCs/>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b/>
          <w:bCs/>
          <w:color w:val="000000" w:themeColor="text1"/>
          <w:sz w:val="32"/>
          <w:szCs w:val="32"/>
          <w:shd w:val="clear" w:color="auto" w:fill="FFFFFF"/>
          <w14:textFill>
            <w14:solidFill>
              <w14:schemeClr w14:val="tx1"/>
            </w14:solidFill>
          </w14:textFill>
        </w:rPr>
        <w:t>（六）国有资本经营预算财政拨款支出决算情况说明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 本部门</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2024年</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度无国有资本经营预算财政拨款支出。</w:t>
      </w:r>
    </w:p>
    <w:p>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0" w:afterAutospacing="0" w:line="594" w:lineRule="exact"/>
        <w:ind w:firstLine="642" w:firstLineChars="200"/>
        <w:textAlignment w:val="auto"/>
        <w:rPr>
          <w:rStyle w:val="8"/>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Style w:val="8"/>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财政拨款</w:t>
      </w:r>
      <w:r>
        <w:rPr>
          <w:rStyle w:val="8"/>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“三公”经费情况说明</w:t>
      </w:r>
    </w:p>
    <w:p>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94" w:lineRule="exact"/>
        <w:ind w:firstLine="642" w:firstLineChars="200"/>
        <w:textAlignment w:val="auto"/>
        <w:rPr>
          <w:rFonts w:hint="default" w:ascii="Times New Roman" w:hAnsi="Times New Roman" w:eastAsia="仿宋_GB2312" w:cs="Times New Roman"/>
          <w:b/>
          <w:bCs/>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b/>
          <w:bCs/>
          <w:color w:val="000000" w:themeColor="text1"/>
          <w:sz w:val="32"/>
          <w:szCs w:val="32"/>
          <w:shd w:val="clear" w:color="auto" w:fill="FFFFFF"/>
          <w14:textFill>
            <w14:solidFill>
              <w14:schemeClr w14:val="tx1"/>
            </w14:solidFill>
          </w14:textFill>
        </w:rPr>
        <w:t>（一）“三公”经费支出总体情况说明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2024年</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度“三公”经费支出共计</w:t>
      </w:r>
      <w:r>
        <w:rPr>
          <w:rFonts w:hint="default" w:ascii="Times New Roman" w:hAnsi="Times New Roman" w:eastAsia="仿宋_GB2312" w:cs="Times New Roman"/>
          <w:color w:val="000000" w:themeColor="text1"/>
          <w:sz w:val="32"/>
          <w:szCs w:val="32"/>
          <w14:textFill>
            <w14:solidFill>
              <w14:schemeClr w14:val="tx1"/>
            </w14:solidFill>
          </w14:textFill>
        </w:rPr>
        <w:t>3.40</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万元，较年初预算数减少1.10万元，下降24.4%，主要原因是</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公车运行维护费较年初预算减少。</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较上年支出数减少0.86万元，下降20.2%，主要原因是</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公车运行维护费和公务接待费减少，厉行勤俭节约，非必要不支出。</w:t>
      </w:r>
    </w:p>
    <w:p>
      <w:pPr>
        <w:pStyle w:val="9"/>
        <w:keepNext w:val="0"/>
        <w:keepLines w:val="0"/>
        <w:pageBreakBefore w:val="0"/>
        <w:widowControl/>
        <w:kinsoku/>
        <w:wordWrap/>
        <w:overflowPunct/>
        <w:topLinePunct w:val="0"/>
        <w:autoSpaceDE w:val="0"/>
        <w:autoSpaceDN/>
        <w:bidi w:val="0"/>
        <w:adjustRightInd/>
        <w:spacing w:line="594" w:lineRule="exact"/>
        <w:ind w:firstLine="643"/>
        <w:textAlignment w:val="auto"/>
        <w:rPr>
          <w:rFonts w:hint="default" w:ascii="Times New Roman" w:hAnsi="Times New Roman" w:eastAsia="仿宋_GB2312" w:cs="Times New Roman"/>
          <w:b/>
          <w:bCs/>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b/>
          <w:bCs/>
          <w:color w:val="000000" w:themeColor="text1"/>
          <w:sz w:val="32"/>
          <w:szCs w:val="32"/>
          <w:shd w:val="clear" w:color="auto" w:fill="FFFFFF"/>
          <w14:textFill>
            <w14:solidFill>
              <w14:schemeClr w14:val="tx1"/>
            </w14:solidFill>
          </w14:textFill>
        </w:rPr>
        <w:t>（二）“三公”经费分项支出情况</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2024年</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度本部门因公出国（境）费用</w:t>
      </w:r>
      <w:r>
        <w:rPr>
          <w:rFonts w:hint="default" w:ascii="Times New Roman" w:hAnsi="Times New Roman" w:eastAsia="仿宋_GB2312" w:cs="Times New Roman"/>
          <w:color w:val="000000" w:themeColor="text1"/>
          <w:sz w:val="32"/>
          <w:szCs w:val="32"/>
          <w14:textFill>
            <w14:solidFill>
              <w14:schemeClr w14:val="tx1"/>
            </w14:solidFill>
          </w14:textFill>
        </w:rPr>
        <w:t>0.00</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万元。费用支出较年初预算数无增减。与2023年度相比，无增减。</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 公务车购置费</w:t>
      </w:r>
      <w:r>
        <w:rPr>
          <w:rFonts w:hint="default" w:ascii="Times New Roman" w:hAnsi="Times New Roman" w:eastAsia="仿宋_GB2312" w:cs="Times New Roman"/>
          <w:color w:val="000000" w:themeColor="text1"/>
          <w:sz w:val="32"/>
          <w:szCs w:val="32"/>
          <w14:textFill>
            <w14:solidFill>
              <w14:schemeClr w14:val="tx1"/>
            </w14:solidFill>
          </w14:textFill>
        </w:rPr>
        <w:t>0.00</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万元。费用支出较年初预算数无增减。与2023年度相比，无增减。</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 公务车运行维护费</w:t>
      </w:r>
      <w:r>
        <w:rPr>
          <w:rFonts w:hint="default" w:ascii="Times New Roman" w:hAnsi="Times New Roman" w:eastAsia="仿宋_GB2312" w:cs="Times New Roman"/>
          <w:color w:val="000000" w:themeColor="text1"/>
          <w:sz w:val="32"/>
          <w:szCs w:val="32"/>
          <w14:textFill>
            <w14:solidFill>
              <w14:schemeClr w14:val="tx1"/>
            </w14:solidFill>
          </w14:textFill>
        </w:rPr>
        <w:t>2.56</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万元，主要用于</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公车燃料费、维修费、保险费、过路过桥费、停车费等。</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费用支出较年初预算数减少0.94万元，下降26.9%，主要原因是</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公务用车派车次数较少。</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较上年支出数减少1.18万元，下降31.6%，主要原因是</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进一步加强公车运行维护管理，压减支出。</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 公务接待费</w:t>
      </w:r>
      <w:r>
        <w:rPr>
          <w:rFonts w:hint="default" w:ascii="Times New Roman" w:hAnsi="Times New Roman" w:eastAsia="仿宋_GB2312" w:cs="Times New Roman"/>
          <w:color w:val="000000" w:themeColor="text1"/>
          <w:sz w:val="32"/>
          <w:szCs w:val="32"/>
          <w14:textFill>
            <w14:solidFill>
              <w14:schemeClr w14:val="tx1"/>
            </w14:solidFill>
          </w14:textFill>
        </w:rPr>
        <w:t>0.84</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万元，主要用于接待接待</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因公务需要开展公务活动的来访人员。</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费用支出较年初预算数减少0.16万元，下降16.0%，主要原因是主要原因是</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坚持依函接待，规范公务接待管理。</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较上年支出数增加0.31万元，增长58.5%，主要原因是</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市残联来我县调研次数较上年增加。</w:t>
      </w:r>
    </w:p>
    <w:p>
      <w:pPr>
        <w:pStyle w:val="9"/>
        <w:keepNext w:val="0"/>
        <w:keepLines w:val="0"/>
        <w:pageBreakBefore w:val="0"/>
        <w:widowControl/>
        <w:kinsoku/>
        <w:wordWrap/>
        <w:overflowPunct/>
        <w:topLinePunct w:val="0"/>
        <w:autoSpaceDE w:val="0"/>
        <w:autoSpaceDN/>
        <w:bidi w:val="0"/>
        <w:adjustRightInd/>
        <w:spacing w:line="594" w:lineRule="exact"/>
        <w:ind w:left="0" w:leftChars="0" w:firstLine="642" w:firstLineChars="200"/>
        <w:textAlignment w:val="auto"/>
        <w:rPr>
          <w:rFonts w:hint="default" w:ascii="Times New Roman" w:hAnsi="Times New Roman" w:eastAsia="仿宋_GB2312" w:cs="Times New Roman"/>
          <w:b/>
          <w:bCs/>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b/>
          <w:bCs/>
          <w:color w:val="000000" w:themeColor="text1"/>
          <w:sz w:val="32"/>
          <w:szCs w:val="32"/>
          <w:shd w:val="clear" w:color="auto" w:fill="FFFFFF"/>
          <w14:textFill>
            <w14:solidFill>
              <w14:schemeClr w14:val="tx1"/>
            </w14:solidFill>
          </w14:textFill>
        </w:rPr>
        <w:t>（三）“三公”经费实物量情况</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2024年</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度本部门因公出国（境）共计</w:t>
      </w:r>
      <w:r>
        <w:rPr>
          <w:rFonts w:hint="default" w:ascii="Times New Roman" w:hAnsi="Times New Roman" w:eastAsia="仿宋_GB2312" w:cs="Times New Roman"/>
          <w:color w:val="000000" w:themeColor="text1"/>
          <w:sz w:val="32"/>
          <w:szCs w:val="32"/>
          <w14:textFill>
            <w14:solidFill>
              <w14:schemeClr w14:val="tx1"/>
            </w14:solidFill>
          </w14:textFill>
        </w:rPr>
        <w:t>0</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个团组，</w:t>
      </w:r>
      <w:r>
        <w:rPr>
          <w:rFonts w:hint="default" w:ascii="Times New Roman" w:hAnsi="Times New Roman" w:eastAsia="仿宋_GB2312" w:cs="Times New Roman"/>
          <w:color w:val="000000" w:themeColor="text1"/>
          <w:sz w:val="32"/>
          <w:szCs w:val="32"/>
          <w14:textFill>
            <w14:solidFill>
              <w14:schemeClr w14:val="tx1"/>
            </w14:solidFill>
          </w14:textFill>
        </w:rPr>
        <w:t>0</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人；公务用车购置</w:t>
      </w:r>
      <w:r>
        <w:rPr>
          <w:rFonts w:hint="default" w:ascii="Times New Roman" w:hAnsi="Times New Roman" w:eastAsia="仿宋_GB2312" w:cs="Times New Roman"/>
          <w:color w:val="000000" w:themeColor="text1"/>
          <w:sz w:val="32"/>
          <w:szCs w:val="32"/>
          <w14:textFill>
            <w14:solidFill>
              <w14:schemeClr w14:val="tx1"/>
            </w14:solidFill>
          </w14:textFill>
        </w:rPr>
        <w:t>0</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辆，公务车保有量为</w:t>
      </w: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辆；国内公务接待</w:t>
      </w: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批次</w:t>
      </w:r>
      <w:r>
        <w:rPr>
          <w:rFonts w:hint="default" w:ascii="Times New Roman" w:hAnsi="Times New Roman" w:eastAsia="仿宋_GB2312" w:cs="Times New Roman"/>
          <w:color w:val="000000" w:themeColor="text1"/>
          <w:sz w:val="32"/>
          <w:szCs w:val="32"/>
          <w14:textFill>
            <w14:solidFill>
              <w14:schemeClr w14:val="tx1"/>
            </w14:solidFill>
          </w14:textFill>
        </w:rPr>
        <w:t>50</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人，其中：国内外事接待</w:t>
      </w:r>
      <w:r>
        <w:rPr>
          <w:rFonts w:hint="default" w:ascii="Times New Roman" w:hAnsi="Times New Roman" w:eastAsia="仿宋_GB2312" w:cs="Times New Roman"/>
          <w:color w:val="000000" w:themeColor="text1"/>
          <w:sz w:val="32"/>
          <w:szCs w:val="32"/>
          <w14:textFill>
            <w14:solidFill>
              <w14:schemeClr w14:val="tx1"/>
            </w14:solidFill>
          </w14:textFill>
        </w:rPr>
        <w:t>0</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批次，</w:t>
      </w:r>
      <w:r>
        <w:rPr>
          <w:rFonts w:hint="default" w:ascii="Times New Roman" w:hAnsi="Times New Roman" w:eastAsia="仿宋_GB2312" w:cs="Times New Roman"/>
          <w:color w:val="000000" w:themeColor="text1"/>
          <w:sz w:val="32"/>
          <w:szCs w:val="32"/>
          <w14:textFill>
            <w14:solidFill>
              <w14:schemeClr w14:val="tx1"/>
            </w14:solidFill>
          </w14:textFill>
        </w:rPr>
        <w:t>0</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人；国（境）外公务接待</w:t>
      </w:r>
      <w:r>
        <w:rPr>
          <w:rFonts w:hint="default" w:ascii="Times New Roman" w:hAnsi="Times New Roman" w:eastAsia="仿宋_GB2312" w:cs="Times New Roman"/>
          <w:color w:val="000000" w:themeColor="text1"/>
          <w:sz w:val="32"/>
          <w:szCs w:val="32"/>
          <w14:textFill>
            <w14:solidFill>
              <w14:schemeClr w14:val="tx1"/>
            </w14:solidFill>
          </w14:textFill>
        </w:rPr>
        <w:t>0</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批次，</w:t>
      </w:r>
      <w:r>
        <w:rPr>
          <w:rFonts w:hint="default" w:ascii="Times New Roman" w:hAnsi="Times New Roman" w:eastAsia="仿宋_GB2312" w:cs="Times New Roman"/>
          <w:color w:val="000000" w:themeColor="text1"/>
          <w:sz w:val="32"/>
          <w:szCs w:val="32"/>
          <w14:textFill>
            <w14:solidFill>
              <w14:schemeClr w14:val="tx1"/>
            </w14:solidFill>
          </w14:textFill>
        </w:rPr>
        <w:t>0</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人。</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2024年</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本部门人均接待费</w:t>
      </w:r>
      <w:r>
        <w:rPr>
          <w:rFonts w:hint="default" w:ascii="Times New Roman" w:hAnsi="Times New Roman" w:eastAsia="仿宋_GB2312" w:cs="Times New Roman"/>
          <w:color w:val="000000" w:themeColor="text1"/>
          <w:sz w:val="32"/>
          <w:szCs w:val="32"/>
          <w14:textFill>
            <w14:solidFill>
              <w14:schemeClr w14:val="tx1"/>
            </w14:solidFill>
          </w14:textFill>
        </w:rPr>
        <w:t>167.54</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元，车均购置费</w:t>
      </w:r>
      <w:r>
        <w:rPr>
          <w:rFonts w:hint="default" w:ascii="Times New Roman" w:hAnsi="Times New Roman" w:eastAsia="仿宋_GB2312" w:cs="Times New Roman"/>
          <w:color w:val="000000" w:themeColor="text1"/>
          <w:sz w:val="32"/>
          <w:szCs w:val="32"/>
          <w14:textFill>
            <w14:solidFill>
              <w14:schemeClr w14:val="tx1"/>
            </w14:solidFill>
          </w14:textFill>
        </w:rPr>
        <w:t>0</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万元，车均维护费</w:t>
      </w:r>
      <w:r>
        <w:rPr>
          <w:rFonts w:hint="default" w:ascii="Times New Roman" w:hAnsi="Times New Roman" w:eastAsia="仿宋_GB2312" w:cs="Times New Roman"/>
          <w:color w:val="000000" w:themeColor="text1"/>
          <w:sz w:val="32"/>
          <w:szCs w:val="32"/>
          <w14:textFill>
            <w14:solidFill>
              <w14:schemeClr w14:val="tx1"/>
            </w14:solidFill>
          </w14:textFill>
        </w:rPr>
        <w:t>2.56</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万元。</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642" w:firstLineChars="200"/>
        <w:textAlignment w:val="auto"/>
        <w:rPr>
          <w:rStyle w:val="8"/>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pPr>
      <w:r>
        <w:rPr>
          <w:rStyle w:val="8"/>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四、其他需要说明的事项</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仿宋_GB2312" w:cs="Times New Roman"/>
          <w:b/>
          <w:bCs/>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b/>
          <w:bCs/>
          <w:color w:val="000000" w:themeColor="text1"/>
          <w:sz w:val="32"/>
          <w:szCs w:val="32"/>
          <w:shd w:val="clear" w:color="auto" w:fill="FFFFFF"/>
          <w14:textFill>
            <w14:solidFill>
              <w14:schemeClr w14:val="tx1"/>
            </w14:solidFill>
          </w14:textFill>
        </w:rPr>
        <w:t>  （一）财政拨款会议费和培训费情况说明</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本年度会议费支出</w:t>
      </w:r>
      <w:r>
        <w:rPr>
          <w:rFonts w:hint="default" w:ascii="Times New Roman" w:hAnsi="Times New Roman" w:eastAsia="仿宋_GB2312" w:cs="Times New Roman"/>
          <w:color w:val="000000" w:themeColor="text1"/>
          <w:sz w:val="32"/>
          <w:szCs w:val="32"/>
          <w14:textFill>
            <w14:solidFill>
              <w14:schemeClr w14:val="tx1"/>
            </w14:solidFill>
          </w14:textFill>
        </w:rPr>
        <w:t>1.15</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万元，与2023年度相比，减少3.78万元，下降76.7%，主要原因是</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精简会议规模、压缩会议时常，本年度多数会议采用数字化形式。</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本年度培训费支出</w:t>
      </w:r>
      <w:r>
        <w:rPr>
          <w:rFonts w:hint="default" w:ascii="Times New Roman" w:hAnsi="Times New Roman" w:eastAsia="仿宋_GB2312" w:cs="Times New Roman"/>
          <w:color w:val="000000" w:themeColor="text1"/>
          <w:sz w:val="32"/>
          <w:szCs w:val="32"/>
          <w14:textFill>
            <w14:solidFill>
              <w14:schemeClr w14:val="tx1"/>
            </w14:solidFill>
          </w14:textFill>
        </w:rPr>
        <w:t>50.24</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万元，与2023年度相比，增加44.24万元，增长737.3%，主要原因是</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2023年将农村残疾人实用技术培训和职业技能培训列支委托业务费</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2024年将其列支培训费，故较上年增长737.3%</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w:t>
      </w:r>
    </w:p>
    <w:p>
      <w:pPr>
        <w:pStyle w:val="9"/>
        <w:keepNext w:val="0"/>
        <w:keepLines w:val="0"/>
        <w:pageBreakBefore w:val="0"/>
        <w:widowControl/>
        <w:kinsoku/>
        <w:wordWrap/>
        <w:overflowPunct/>
        <w:topLinePunct w:val="0"/>
        <w:autoSpaceDE w:val="0"/>
        <w:autoSpaceDN/>
        <w:bidi w:val="0"/>
        <w:adjustRightInd/>
        <w:spacing w:line="594" w:lineRule="exact"/>
        <w:ind w:firstLine="643"/>
        <w:textAlignment w:val="auto"/>
        <w:rPr>
          <w:rFonts w:hint="default" w:ascii="Times New Roman" w:hAnsi="Times New Roman" w:eastAsia="仿宋_GB2312" w:cs="Times New Roman"/>
          <w:b/>
          <w:bCs/>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b/>
          <w:bCs/>
          <w:color w:val="000000" w:themeColor="text1"/>
          <w:sz w:val="32"/>
          <w:szCs w:val="32"/>
          <w:shd w:val="clear" w:color="auto" w:fill="FFFFFF"/>
          <w14:textFill>
            <w14:solidFill>
              <w14:schemeClr w14:val="tx1"/>
            </w14:solidFill>
          </w14:textFill>
        </w:rPr>
        <w:t>（二）机关运行经费情况说明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2024年</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度本部门机关运行经费支出</w:t>
      </w:r>
      <w:r>
        <w:rPr>
          <w:rFonts w:hint="default" w:ascii="Times New Roman" w:hAnsi="Times New Roman" w:eastAsia="仿宋_GB2312" w:cs="Times New Roman"/>
          <w:color w:val="000000" w:themeColor="text1"/>
          <w:sz w:val="32"/>
          <w:szCs w:val="32"/>
          <w14:textFill>
            <w14:solidFill>
              <w14:schemeClr w14:val="tx1"/>
            </w14:solidFill>
          </w14:textFill>
        </w:rPr>
        <w:t>23.52</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万元，机关运行经费主要用于开支</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302商品和服务费，其中办公费7.84万元，水费0.37万元，电费1.38万元，差旅费0.35万元，公务接待费0.84万元，劳务费0.03万元，委托业务费0.39万元，工会经费1.01万元，福利费0.7万元，公务用车运行维护费2.37万元，其它交通费6.08万元</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。机关运行经费较上年支出数</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增长</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0.11万元，增长0.5%，</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主要原因是其它交通和服务费较上年增长。</w:t>
      </w:r>
    </w:p>
    <w:p>
      <w:pPr>
        <w:pStyle w:val="9"/>
        <w:keepNext w:val="0"/>
        <w:keepLines w:val="0"/>
        <w:pageBreakBefore w:val="0"/>
        <w:widowControl/>
        <w:kinsoku/>
        <w:wordWrap/>
        <w:overflowPunct/>
        <w:topLinePunct w:val="0"/>
        <w:autoSpaceDE w:val="0"/>
        <w:autoSpaceDN/>
        <w:bidi w:val="0"/>
        <w:adjustRightInd/>
        <w:spacing w:line="594" w:lineRule="exact"/>
        <w:ind w:firstLine="643"/>
        <w:textAlignment w:val="auto"/>
        <w:rPr>
          <w:rFonts w:hint="default" w:ascii="Times New Roman" w:hAnsi="Times New Roman" w:eastAsia="仿宋_GB2312" w:cs="Times New Roman"/>
          <w:b/>
          <w:bCs/>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b/>
          <w:bCs/>
          <w:color w:val="000000" w:themeColor="text1"/>
          <w:sz w:val="32"/>
          <w:szCs w:val="32"/>
          <w:shd w:val="clear" w:color="auto" w:fill="FFFFFF"/>
          <w14:textFill>
            <w14:solidFill>
              <w14:schemeClr w14:val="tx1"/>
            </w14:solidFill>
          </w14:textFill>
        </w:rPr>
        <w:t>（三）国有资产占用情况说明</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截至</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2024年</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12月31日，本部门共有车辆</w:t>
      </w: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辆，其中，副部（省）级及以上领导用车</w:t>
      </w:r>
      <w:r>
        <w:rPr>
          <w:rFonts w:hint="default" w:ascii="Times New Roman" w:hAnsi="Times New Roman" w:eastAsia="仿宋_GB2312" w:cs="Times New Roman"/>
          <w:color w:val="000000" w:themeColor="text1"/>
          <w:sz w:val="32"/>
          <w:szCs w:val="32"/>
          <w14:textFill>
            <w14:solidFill>
              <w14:schemeClr w14:val="tx1"/>
            </w14:solidFill>
          </w14:textFill>
        </w:rPr>
        <w:t>0</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辆、主要负责人用车</w:t>
      </w:r>
      <w:r>
        <w:rPr>
          <w:rFonts w:hint="default" w:ascii="Times New Roman" w:hAnsi="Times New Roman" w:eastAsia="仿宋_GB2312" w:cs="Times New Roman"/>
          <w:color w:val="000000" w:themeColor="text1"/>
          <w:sz w:val="32"/>
          <w:szCs w:val="32"/>
          <w14:textFill>
            <w14:solidFill>
              <w14:schemeClr w14:val="tx1"/>
            </w14:solidFill>
          </w14:textFill>
        </w:rPr>
        <w:t>0</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辆、机要通信用车</w:t>
      </w: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辆、应急保障用车</w:t>
      </w:r>
      <w:r>
        <w:rPr>
          <w:rFonts w:hint="default" w:ascii="Times New Roman" w:hAnsi="Times New Roman" w:eastAsia="仿宋_GB2312" w:cs="Times New Roman"/>
          <w:color w:val="000000" w:themeColor="text1"/>
          <w:sz w:val="32"/>
          <w:szCs w:val="32"/>
          <w14:textFill>
            <w14:solidFill>
              <w14:schemeClr w14:val="tx1"/>
            </w14:solidFill>
          </w14:textFill>
        </w:rPr>
        <w:t>0</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辆、执法执勤用车</w:t>
      </w:r>
      <w:r>
        <w:rPr>
          <w:rFonts w:hint="default" w:ascii="Times New Roman" w:hAnsi="Times New Roman" w:eastAsia="仿宋_GB2312" w:cs="Times New Roman"/>
          <w:color w:val="000000" w:themeColor="text1"/>
          <w:sz w:val="32"/>
          <w:szCs w:val="32"/>
          <w14:textFill>
            <w14:solidFill>
              <w14:schemeClr w14:val="tx1"/>
            </w14:solidFill>
          </w14:textFill>
        </w:rPr>
        <w:t>0</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辆，特种专业技术用车</w:t>
      </w:r>
      <w:r>
        <w:rPr>
          <w:rFonts w:hint="default" w:ascii="Times New Roman" w:hAnsi="Times New Roman" w:eastAsia="仿宋_GB2312" w:cs="Times New Roman"/>
          <w:color w:val="000000" w:themeColor="text1"/>
          <w:sz w:val="32"/>
          <w:szCs w:val="32"/>
          <w14:textFill>
            <w14:solidFill>
              <w14:schemeClr w14:val="tx1"/>
            </w14:solidFill>
          </w14:textFill>
        </w:rPr>
        <w:t>0</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辆，离退休干部用车</w:t>
      </w:r>
      <w:r>
        <w:rPr>
          <w:rFonts w:hint="default" w:ascii="Times New Roman" w:hAnsi="Times New Roman" w:eastAsia="仿宋_GB2312" w:cs="Times New Roman"/>
          <w:color w:val="000000" w:themeColor="text1"/>
          <w:sz w:val="32"/>
          <w:szCs w:val="32"/>
          <w14:textFill>
            <w14:solidFill>
              <w14:schemeClr w14:val="tx1"/>
            </w14:solidFill>
          </w14:textFill>
        </w:rPr>
        <w:t>0</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辆。单价100万元（含）以上专用设备</w:t>
      </w:r>
      <w:r>
        <w:rPr>
          <w:rFonts w:hint="default" w:ascii="Times New Roman" w:hAnsi="Times New Roman" w:eastAsia="仿宋_GB2312" w:cs="Times New Roman"/>
          <w:color w:val="000000" w:themeColor="text1"/>
          <w:sz w:val="32"/>
          <w:szCs w:val="32"/>
          <w14:textFill>
            <w14:solidFill>
              <w14:schemeClr w14:val="tx1"/>
            </w14:solidFill>
          </w14:textFill>
        </w:rPr>
        <w:t>0</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台（套）。</w:t>
      </w:r>
    </w:p>
    <w:p>
      <w:pPr>
        <w:pStyle w:val="9"/>
        <w:keepNext w:val="0"/>
        <w:keepLines w:val="0"/>
        <w:pageBreakBefore w:val="0"/>
        <w:widowControl/>
        <w:numPr>
          <w:ilvl w:val="0"/>
          <w:numId w:val="2"/>
        </w:numPr>
        <w:kinsoku/>
        <w:wordWrap/>
        <w:overflowPunct/>
        <w:topLinePunct w:val="0"/>
        <w:autoSpaceDE w:val="0"/>
        <w:autoSpaceDN/>
        <w:bidi w:val="0"/>
        <w:adjustRightInd/>
        <w:spacing w:line="594" w:lineRule="exact"/>
        <w:ind w:firstLine="643"/>
        <w:textAlignment w:val="auto"/>
        <w:rPr>
          <w:rFonts w:hint="default" w:ascii="Times New Roman" w:hAnsi="Times New Roman" w:eastAsia="仿宋_GB2312" w:cs="Times New Roman"/>
          <w:b/>
          <w:bCs/>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b/>
          <w:bCs/>
          <w:color w:val="000000" w:themeColor="text1"/>
          <w:sz w:val="32"/>
          <w:szCs w:val="32"/>
          <w:shd w:val="clear" w:color="auto" w:fill="FFFFFF"/>
          <w14:textFill>
            <w14:solidFill>
              <w14:schemeClr w14:val="tx1"/>
            </w14:solidFill>
          </w14:textFill>
        </w:rPr>
        <w:t>政府采购支出情况说明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Times New Roman"/>
          <w:b/>
          <w:bCs/>
          <w:color w:val="000000" w:themeColor="text1"/>
          <w:sz w:val="32"/>
          <w:szCs w:val="32"/>
          <w:shd w:val="clear" w:color="auto" w:fill="FFFFFF"/>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2024年</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度本单位政府采购支出总额</w:t>
      </w:r>
      <w:r>
        <w:rPr>
          <w:rFonts w:hint="default" w:ascii="Times New Roman" w:hAnsi="Times New Roman" w:eastAsia="仿宋_GB2312" w:cs="Times New Roman"/>
          <w:color w:val="000000" w:themeColor="text1"/>
          <w:sz w:val="32"/>
          <w:szCs w:val="32"/>
          <w14:textFill>
            <w14:solidFill>
              <w14:schemeClr w14:val="tx1"/>
            </w14:solidFill>
          </w14:textFill>
        </w:rPr>
        <w:t>1.95</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万元，其中：政府采购货物支出</w:t>
      </w:r>
      <w:r>
        <w:rPr>
          <w:rFonts w:hint="default" w:ascii="Times New Roman" w:hAnsi="Times New Roman" w:eastAsia="仿宋_GB2312" w:cs="Times New Roman"/>
          <w:color w:val="000000" w:themeColor="text1"/>
          <w:sz w:val="32"/>
          <w:szCs w:val="32"/>
          <w14:textFill>
            <w14:solidFill>
              <w14:schemeClr w14:val="tx1"/>
            </w14:solidFill>
          </w14:textFill>
        </w:rPr>
        <w:t>1.95</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万元、政府采购工程支出</w:t>
      </w:r>
      <w:r>
        <w:rPr>
          <w:rFonts w:hint="default" w:ascii="Times New Roman" w:hAnsi="Times New Roman" w:eastAsia="仿宋_GB2312" w:cs="Times New Roman"/>
          <w:color w:val="000000" w:themeColor="text1"/>
          <w:sz w:val="32"/>
          <w:szCs w:val="32"/>
          <w14:textFill>
            <w14:solidFill>
              <w14:schemeClr w14:val="tx1"/>
            </w14:solidFill>
          </w14:textFill>
        </w:rPr>
        <w:t>0.00</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万元、政府采购服务支出</w:t>
      </w:r>
      <w:r>
        <w:rPr>
          <w:rFonts w:hint="default" w:ascii="Times New Roman" w:hAnsi="Times New Roman" w:eastAsia="仿宋_GB2312" w:cs="Times New Roman"/>
          <w:color w:val="000000" w:themeColor="text1"/>
          <w:sz w:val="32"/>
          <w:szCs w:val="32"/>
          <w14:textFill>
            <w14:solidFill>
              <w14:schemeClr w14:val="tx1"/>
            </w14:solidFill>
          </w14:textFill>
        </w:rPr>
        <w:t>0.00</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万元。授予中小企业合同金额</w:t>
      </w:r>
      <w:r>
        <w:rPr>
          <w:rFonts w:hint="default" w:ascii="Times New Roman" w:hAnsi="Times New Roman" w:eastAsia="仿宋_GB2312" w:cs="Times New Roman"/>
          <w:color w:val="000000" w:themeColor="text1"/>
          <w:sz w:val="32"/>
          <w:szCs w:val="32"/>
          <w14:textFill>
            <w14:solidFill>
              <w14:schemeClr w14:val="tx1"/>
            </w14:solidFill>
          </w14:textFill>
        </w:rPr>
        <w:t>1.95万</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元，占政府采购支出总额的</w:t>
      </w:r>
      <w:r>
        <w:rPr>
          <w:rFonts w:hint="default" w:ascii="Times New Roman" w:hAnsi="Times New Roman" w:eastAsia="仿宋_GB2312" w:cs="Times New Roman"/>
          <w:color w:val="000000" w:themeColor="text1"/>
          <w:sz w:val="32"/>
          <w:szCs w:val="32"/>
          <w14:textFill>
            <w14:solidFill>
              <w14:schemeClr w14:val="tx1"/>
            </w14:solidFill>
          </w14:textFill>
        </w:rPr>
        <w:t>100.00</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%，其中：授予小微企业合同金额</w:t>
      </w:r>
      <w:r>
        <w:rPr>
          <w:rFonts w:hint="default" w:ascii="Times New Roman" w:hAnsi="Times New Roman" w:eastAsia="仿宋_GB2312" w:cs="Times New Roman"/>
          <w:color w:val="000000" w:themeColor="text1"/>
          <w:sz w:val="32"/>
          <w:szCs w:val="32"/>
          <w14:textFill>
            <w14:solidFill>
              <w14:schemeClr w14:val="tx1"/>
            </w14:solidFill>
          </w14:textFill>
        </w:rPr>
        <w:t>1.95</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万元，占政府采购支出总额的</w:t>
      </w:r>
      <w:r>
        <w:rPr>
          <w:rFonts w:hint="default" w:ascii="Times New Roman" w:hAnsi="Times New Roman" w:eastAsia="仿宋_GB2312" w:cs="Times New Roman"/>
          <w:color w:val="000000" w:themeColor="text1"/>
          <w:sz w:val="32"/>
          <w:szCs w:val="32"/>
          <w14:textFill>
            <w14:solidFill>
              <w14:schemeClr w14:val="tx1"/>
            </w14:solidFill>
          </w14:textFill>
        </w:rPr>
        <w:t>100.00</w:t>
      </w: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 xml:space="preserve"> %。主要用于采购</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A4黑白打印机一台、台式计算机一台、空调机一台。</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2" w:firstLineChars="200"/>
        <w:textAlignment w:val="auto"/>
        <w:rPr>
          <w:rStyle w:val="8"/>
          <w:rFonts w:hint="default" w:ascii="Times New Roman" w:hAnsi="Times New Roman" w:eastAsia="仿宋_GB2312" w:cs="Times New Roman"/>
          <w:color w:val="000000" w:themeColor="text1"/>
          <w:sz w:val="32"/>
          <w:szCs w:val="32"/>
          <w:shd w:val="clear" w:color="auto" w:fill="FFFFFF"/>
          <w:lang w:val="en-US" w:eastAsia="zh-CN" w:bidi="ar-SA"/>
          <w14:textFill>
            <w14:solidFill>
              <w14:schemeClr w14:val="tx1"/>
            </w14:solidFill>
          </w14:textFill>
        </w:rPr>
      </w:pPr>
      <w:r>
        <w:rPr>
          <w:rStyle w:val="8"/>
          <w:rFonts w:hint="default" w:ascii="Times New Roman" w:hAnsi="Times New Roman" w:eastAsia="仿宋_GB2312" w:cs="Times New Roman"/>
          <w:color w:val="000000" w:themeColor="text1"/>
          <w:sz w:val="32"/>
          <w:szCs w:val="32"/>
          <w:shd w:val="clear" w:color="auto" w:fill="FFFFFF"/>
          <w:lang w:val="en-US" w:eastAsia="zh-CN" w:bidi="ar-SA"/>
          <w14:textFill>
            <w14:solidFill>
              <w14:schemeClr w14:val="tx1"/>
            </w14:solidFill>
          </w14:textFill>
        </w:rPr>
        <w:t>五、2024年度预算绩效管理情况说明</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2" w:firstLineChars="200"/>
        <w:jc w:val="left"/>
        <w:textAlignment w:val="auto"/>
        <w:rPr>
          <w:rFonts w:hint="default" w:ascii="Times New Roman" w:hAnsi="Times New Roman" w:eastAsia="仿宋_GB2312" w:cs="Times New Roman"/>
          <w:b/>
          <w:bCs/>
          <w:color w:val="000000" w:themeColor="text1"/>
          <w:kern w:val="0"/>
          <w:sz w:val="32"/>
          <w:szCs w:val="32"/>
          <w:shd w:val="clear" w:fill="FFFFFF"/>
          <w14:textFill>
            <w14:solidFill>
              <w14:schemeClr w14:val="tx1"/>
            </w14:solidFill>
          </w14:textFill>
        </w:rPr>
      </w:pPr>
      <w:r>
        <w:rPr>
          <w:rFonts w:hint="default" w:ascii="Times New Roman" w:hAnsi="Times New Roman" w:eastAsia="仿宋_GB2312" w:cs="Times New Roman"/>
          <w:b/>
          <w:bCs/>
          <w:color w:val="000000" w:themeColor="text1"/>
          <w:kern w:val="0"/>
          <w:sz w:val="32"/>
          <w:szCs w:val="32"/>
          <w:shd w:val="clear" w:fill="FFFFFF"/>
          <w14:textFill>
            <w14:solidFill>
              <w14:schemeClr w14:val="tx1"/>
            </w14:solidFill>
          </w14:textFill>
        </w:rPr>
        <w:t>（一）单位自评情况</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left"/>
        <w:textAlignment w:val="auto"/>
        <w:rPr>
          <w:rFonts w:hint="default" w:ascii="Times New Roman" w:hAnsi="Times New Roman" w:eastAsia="仿宋_GB2312" w:cs="Times New Roman"/>
          <w:b/>
          <w:bCs/>
          <w:color w:val="000000" w:themeColor="text1"/>
          <w:kern w:val="0"/>
          <w:sz w:val="32"/>
          <w:szCs w:val="32"/>
          <w:shd w:val="clear" w:fill="FFFFFF"/>
          <w14:textFill>
            <w14:solidFill>
              <w14:schemeClr w14:val="tx1"/>
            </w14:solidFill>
          </w14:textFill>
        </w:rPr>
      </w:pPr>
      <w:r>
        <w:rPr>
          <w:rFonts w:hint="default" w:ascii="Times New Roman" w:hAnsi="Times New Roman" w:eastAsia="仿宋_GB2312" w:cs="Times New Roman"/>
          <w:color w:val="000000" w:themeColor="text1"/>
          <w:kern w:val="0"/>
          <w:sz w:val="32"/>
          <w:szCs w:val="32"/>
          <w:shd w:val="clear" w:fill="FFFFFF"/>
          <w14:textFill>
            <w14:solidFill>
              <w14:schemeClr w14:val="tx1"/>
            </w14:solidFill>
          </w14:textFill>
        </w:rPr>
        <w:t>根据预算绩效管理要求，我单位对部门整体和</w:t>
      </w:r>
      <w:r>
        <w:rPr>
          <w:rFonts w:hint="default" w:ascii="Times New Roman" w:hAnsi="Times New Roman" w:eastAsia="仿宋_GB2312" w:cs="Times New Roman"/>
          <w:color w:val="000000" w:themeColor="text1"/>
          <w:kern w:val="0"/>
          <w:sz w:val="32"/>
          <w:szCs w:val="32"/>
          <w:shd w:val="clear" w:fill="FFFFFF"/>
          <w:lang w:val="en-US" w:eastAsia="zh-CN"/>
          <w14:textFill>
            <w14:solidFill>
              <w14:schemeClr w14:val="tx1"/>
            </w14:solidFill>
          </w14:textFill>
        </w:rPr>
        <w:t>22</w:t>
      </w:r>
      <w:r>
        <w:rPr>
          <w:rFonts w:hint="default" w:ascii="Times New Roman" w:hAnsi="Times New Roman" w:eastAsia="仿宋_GB2312" w:cs="Times New Roman"/>
          <w:color w:val="000000" w:themeColor="text1"/>
          <w:kern w:val="0"/>
          <w:sz w:val="32"/>
          <w:szCs w:val="32"/>
          <w:shd w:val="clear" w:fill="FFFFFF"/>
          <w14:textFill>
            <w14:solidFill>
              <w14:schemeClr w14:val="tx1"/>
            </w14:solidFill>
          </w14:textFill>
        </w:rPr>
        <w:t>个</w:t>
      </w:r>
      <w:r>
        <w:rPr>
          <w:rFonts w:hint="default" w:ascii="Times New Roman" w:hAnsi="Times New Roman" w:eastAsia="仿宋_GB2312" w:cs="Times New Roman"/>
          <w:color w:val="000000" w:themeColor="text1"/>
          <w:kern w:val="0"/>
          <w:sz w:val="32"/>
          <w:szCs w:val="32"/>
          <w:shd w:val="clear" w:fill="FFFFFF"/>
          <w:lang w:eastAsia="zh-CN"/>
          <w14:textFill>
            <w14:solidFill>
              <w14:schemeClr w14:val="tx1"/>
            </w14:solidFill>
          </w14:textFill>
        </w:rPr>
        <w:t>二</w:t>
      </w:r>
      <w:r>
        <w:rPr>
          <w:rFonts w:hint="default" w:ascii="Times New Roman" w:hAnsi="Times New Roman" w:eastAsia="仿宋_GB2312" w:cs="Times New Roman"/>
          <w:color w:val="000000" w:themeColor="text1"/>
          <w:kern w:val="0"/>
          <w:sz w:val="32"/>
          <w:szCs w:val="32"/>
          <w:shd w:val="clear" w:fill="FFFFFF"/>
          <w14:textFill>
            <w14:solidFill>
              <w14:schemeClr w14:val="tx1"/>
            </w14:solidFill>
          </w14:textFill>
        </w:rPr>
        <w:t>级项目开展了绩效自评，涉及财政拨款项目支出资金</w:t>
      </w:r>
      <w:r>
        <w:rPr>
          <w:rFonts w:hint="default" w:ascii="Times New Roman" w:hAnsi="Times New Roman" w:eastAsia="仿宋_GB2312" w:cs="Times New Roman"/>
          <w:color w:val="000000" w:themeColor="text1"/>
          <w:kern w:val="0"/>
          <w:sz w:val="32"/>
          <w:szCs w:val="32"/>
          <w:shd w:val="clear" w:fill="FFFFFF"/>
          <w:lang w:val="en-US" w:eastAsia="zh-CN"/>
          <w14:textFill>
            <w14:solidFill>
              <w14:schemeClr w14:val="tx1"/>
            </w14:solidFill>
          </w14:textFill>
        </w:rPr>
        <w:t>1383.46</w:t>
      </w:r>
      <w:r>
        <w:rPr>
          <w:rFonts w:hint="default" w:ascii="Times New Roman" w:hAnsi="Times New Roman" w:eastAsia="仿宋_GB2312" w:cs="Times New Roman"/>
          <w:color w:val="000000" w:themeColor="text1"/>
          <w:kern w:val="0"/>
          <w:sz w:val="32"/>
          <w:szCs w:val="32"/>
          <w:shd w:val="clear" w:fill="FFFFFF"/>
          <w14:textFill>
            <w14:solidFill>
              <w14:schemeClr w14:val="tx1"/>
            </w14:solidFill>
          </w14:textFill>
        </w:rPr>
        <w:t>万元</w:t>
      </w:r>
      <w:r>
        <w:rPr>
          <w:rFonts w:hint="default" w:ascii="Times New Roman" w:hAnsi="Times New Roman" w:eastAsia="仿宋_GB2312" w:cs="Times New Roman"/>
          <w:color w:val="000000" w:themeColor="text1"/>
          <w:kern w:val="0"/>
          <w:sz w:val="32"/>
          <w:szCs w:val="32"/>
          <w:shd w:val="clear" w:fill="FFFFFF"/>
          <w:lang w:eastAsia="zh-CN"/>
          <w14:textFill>
            <w14:solidFill>
              <w14:schemeClr w14:val="tx1"/>
            </w14:solidFill>
          </w14:textFill>
        </w:rPr>
        <w:t>。</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2" w:firstLineChars="200"/>
        <w:jc w:val="left"/>
        <w:textAlignment w:val="auto"/>
        <w:rPr>
          <w:rFonts w:hint="default" w:ascii="Times New Roman" w:hAnsi="Times New Roman" w:eastAsia="仿宋_GB2312" w:cs="Times New Roman"/>
          <w:b/>
          <w:bCs/>
          <w:color w:val="000000" w:themeColor="text1"/>
          <w:kern w:val="0"/>
          <w:sz w:val="32"/>
          <w:szCs w:val="32"/>
          <w:shd w:val="clear" w:fill="FFFFFF"/>
          <w:lang w:eastAsia="zh-CN"/>
          <w14:textFill>
            <w14:solidFill>
              <w14:schemeClr w14:val="tx1"/>
            </w14:solidFill>
          </w14:textFill>
        </w:rPr>
      </w:pPr>
      <w:r>
        <w:rPr>
          <w:rFonts w:hint="default" w:ascii="Times New Roman" w:hAnsi="Times New Roman" w:eastAsia="仿宋_GB2312" w:cs="Times New Roman"/>
          <w:b/>
          <w:bCs/>
          <w:color w:val="000000" w:themeColor="text1"/>
          <w:kern w:val="0"/>
          <w:sz w:val="32"/>
          <w:szCs w:val="32"/>
          <w:shd w:val="clear" w:fill="FFFFFF"/>
          <w14:textFill>
            <w14:solidFill>
              <w14:schemeClr w14:val="tx1"/>
            </w14:solidFill>
          </w14:textFill>
        </w:rPr>
        <w:t>部门整体绩效自评</w:t>
      </w:r>
      <w:r>
        <w:rPr>
          <w:rFonts w:hint="default" w:ascii="Times New Roman" w:hAnsi="Times New Roman" w:eastAsia="仿宋_GB2312" w:cs="Times New Roman"/>
          <w:b/>
          <w:bCs/>
          <w:color w:val="000000" w:themeColor="text1"/>
          <w:kern w:val="0"/>
          <w:sz w:val="32"/>
          <w:szCs w:val="32"/>
          <w:shd w:val="clear" w:fill="FFFFFF"/>
          <w:lang w:eastAsia="zh-CN"/>
          <w14:textFill>
            <w14:solidFill>
              <w14:schemeClr w14:val="tx1"/>
            </w14:solidFill>
          </w14:textFill>
        </w:rPr>
        <w:t>表</w:t>
      </w:r>
    </w:p>
    <w:tbl>
      <w:tblPr>
        <w:tblStyle w:val="6"/>
        <w:tblW w:w="925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67"/>
        <w:gridCol w:w="808"/>
        <w:gridCol w:w="937"/>
        <w:gridCol w:w="159"/>
        <w:gridCol w:w="300"/>
        <w:gridCol w:w="519"/>
        <w:gridCol w:w="808"/>
        <w:gridCol w:w="115"/>
        <w:gridCol w:w="831"/>
        <w:gridCol w:w="150"/>
        <w:gridCol w:w="519"/>
        <w:gridCol w:w="70"/>
        <w:gridCol w:w="611"/>
        <w:gridCol w:w="12"/>
        <w:gridCol w:w="623"/>
        <w:gridCol w:w="80"/>
        <w:gridCol w:w="497"/>
        <w:gridCol w:w="333"/>
        <w:gridCol w:w="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800" w:hRule="atLeast"/>
        </w:trPr>
        <w:tc>
          <w:tcPr>
            <w:tcW w:w="9239" w:type="dxa"/>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2024年度部门整体绩效自评表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9239" w:type="dxa"/>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b/>
                <w:bCs/>
                <w:i w:val="0"/>
                <w:iCs w:val="0"/>
                <w:color w:val="DA3232"/>
                <w:sz w:val="22"/>
                <w:szCs w:val="22"/>
                <w:u w:val="none"/>
              </w:rPr>
            </w:pPr>
            <w:r>
              <w:rPr>
                <w:rFonts w:hint="eastAsia" w:ascii="宋体" w:hAnsi="宋体" w:eastAsia="宋体" w:cs="宋体"/>
                <w:b/>
                <w:bCs/>
                <w:i w:val="0"/>
                <w:iCs w:val="0"/>
                <w:color w:val="DA3232"/>
                <w:kern w:val="0"/>
                <w:sz w:val="22"/>
                <w:szCs w:val="22"/>
                <w:u w:val="none"/>
                <w:lang w:val="en-US" w:eastAsia="zh-CN" w:bidi="ar"/>
              </w:rPr>
              <w:t>状态：业务审核已审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 w:type="dxa"/>
          <w:trHeight w:val="90"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项目名称：</w:t>
            </w: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巫溪县残疾人联合会整体监控</w:t>
            </w:r>
          </w:p>
        </w:tc>
        <w:tc>
          <w:tcPr>
            <w:tcW w:w="4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项目编码：</w:t>
            </w:r>
          </w:p>
        </w:tc>
        <w:tc>
          <w:tcPr>
            <w:tcW w:w="144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50023800024P000055</w:t>
            </w:r>
          </w:p>
        </w:tc>
        <w:tc>
          <w:tcPr>
            <w:tcW w:w="9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自评总分：</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100.00</w:t>
            </w:r>
          </w:p>
        </w:tc>
        <w:tc>
          <w:tcPr>
            <w:tcW w:w="7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b/>
                <w:bCs/>
                <w:i w:val="0"/>
                <w:iCs w:val="0"/>
                <w:color w:val="000000"/>
                <w:sz w:val="22"/>
                <w:szCs w:val="22"/>
                <w:u w:val="none"/>
              </w:rPr>
            </w:pPr>
          </w:p>
        </w:tc>
        <w:tc>
          <w:tcPr>
            <w:tcW w:w="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12" w:type="dxa"/>
          <w:trHeight w:val="1586"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项目主管部门：</w:t>
            </w: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061-巫溪县残疾人联合会</w:t>
            </w:r>
          </w:p>
        </w:tc>
        <w:tc>
          <w:tcPr>
            <w:tcW w:w="4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财政归口处室：</w:t>
            </w:r>
          </w:p>
        </w:tc>
        <w:tc>
          <w:tcPr>
            <w:tcW w:w="144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006-社保科</w:t>
            </w:r>
          </w:p>
        </w:tc>
        <w:tc>
          <w:tcPr>
            <w:tcW w:w="9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部门联系人：</w:t>
            </w:r>
          </w:p>
        </w:tc>
        <w:tc>
          <w:tcPr>
            <w:tcW w:w="12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田浬利</w:t>
            </w:r>
          </w:p>
        </w:tc>
        <w:tc>
          <w:tcPr>
            <w:tcW w:w="7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联系电话：</w:t>
            </w:r>
          </w:p>
        </w:tc>
        <w:tc>
          <w:tcPr>
            <w:tcW w:w="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18223849902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600" w:hRule="atLeast"/>
        </w:trPr>
        <w:tc>
          <w:tcPr>
            <w:tcW w:w="9239" w:type="dxa"/>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微软雅黑" w:cs="Times New Roman"/>
                <w:b/>
                <w:bCs/>
                <w:i w:val="0"/>
                <w:iCs w:val="0"/>
                <w:color w:val="808080"/>
                <w:sz w:val="28"/>
                <w:szCs w:val="28"/>
                <w:u w:val="none"/>
              </w:rPr>
            </w:pPr>
            <w:r>
              <w:rPr>
                <w:rFonts w:hint="default" w:ascii="Times New Roman" w:hAnsi="Times New Roman" w:eastAsia="微软雅黑" w:cs="Times New Roman"/>
                <w:b/>
                <w:bCs/>
                <w:i w:val="0"/>
                <w:iCs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220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年初预算数</w:t>
            </w:r>
          </w:p>
        </w:tc>
        <w:tc>
          <w:tcPr>
            <w:tcW w:w="144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全年（调整）预算数</w:t>
            </w: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全年执行数</w:t>
            </w:r>
          </w:p>
        </w:tc>
        <w:tc>
          <w:tcPr>
            <w:tcW w:w="6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执行率</w:t>
            </w:r>
          </w:p>
        </w:tc>
        <w:tc>
          <w:tcPr>
            <w:tcW w:w="7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执行率权重</w:t>
            </w:r>
          </w:p>
        </w:tc>
        <w:tc>
          <w:tcPr>
            <w:tcW w:w="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年度总金额</w:t>
            </w:r>
          </w:p>
        </w:tc>
        <w:tc>
          <w:tcPr>
            <w:tcW w:w="220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13,756,731.13 </w:t>
            </w:r>
          </w:p>
        </w:tc>
        <w:tc>
          <w:tcPr>
            <w:tcW w:w="144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16,359,713.98 </w:t>
            </w: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16,358,307.98 </w:t>
            </w:r>
          </w:p>
        </w:tc>
        <w:tc>
          <w:tcPr>
            <w:tcW w:w="6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18"/>
                <w:szCs w:val="18"/>
                <w:u w:val="none"/>
              </w:rPr>
            </w:pPr>
          </w:p>
        </w:tc>
        <w:tc>
          <w:tcPr>
            <w:tcW w:w="7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18"/>
                <w:szCs w:val="18"/>
                <w:u w:val="none"/>
              </w:rPr>
            </w:pPr>
          </w:p>
        </w:tc>
        <w:tc>
          <w:tcPr>
            <w:tcW w:w="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12" w:type="dxa"/>
          <w:trHeight w:val="500"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其中：财政拨款</w:t>
            </w:r>
          </w:p>
        </w:tc>
        <w:tc>
          <w:tcPr>
            <w:tcW w:w="220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13,756,731.13 </w:t>
            </w:r>
          </w:p>
        </w:tc>
        <w:tc>
          <w:tcPr>
            <w:tcW w:w="144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16,359,713.98 </w:t>
            </w: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16,358,307.98 </w:t>
            </w:r>
          </w:p>
        </w:tc>
        <w:tc>
          <w:tcPr>
            <w:tcW w:w="6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99.99</w:t>
            </w:r>
          </w:p>
        </w:tc>
        <w:tc>
          <w:tcPr>
            <w:tcW w:w="7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w:t>
            </w:r>
          </w:p>
        </w:tc>
        <w:tc>
          <w:tcPr>
            <w:tcW w:w="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 w:type="dxa"/>
          <w:trHeight w:val="500"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一般公共预算</w:t>
            </w:r>
          </w:p>
        </w:tc>
        <w:tc>
          <w:tcPr>
            <w:tcW w:w="220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12,555,731.13 </w:t>
            </w:r>
          </w:p>
        </w:tc>
        <w:tc>
          <w:tcPr>
            <w:tcW w:w="144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14,568,713.98 </w:t>
            </w: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14,567,307.98 </w:t>
            </w:r>
          </w:p>
        </w:tc>
        <w:tc>
          <w:tcPr>
            <w:tcW w:w="68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99.99</w:t>
            </w:r>
          </w:p>
        </w:tc>
        <w:tc>
          <w:tcPr>
            <w:tcW w:w="7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i w:val="0"/>
                <w:iCs w:val="0"/>
                <w:color w:val="000000"/>
                <w:sz w:val="18"/>
                <w:szCs w:val="18"/>
                <w:u w:val="none"/>
              </w:rPr>
            </w:pPr>
          </w:p>
        </w:tc>
        <w:tc>
          <w:tcPr>
            <w:tcW w:w="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600" w:hRule="atLeast"/>
        </w:trPr>
        <w:tc>
          <w:tcPr>
            <w:tcW w:w="9239" w:type="dxa"/>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500" w:hRule="atLeast"/>
        </w:trPr>
        <w:tc>
          <w:tcPr>
            <w:tcW w:w="407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294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2226"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12" w:type="dxa"/>
          <w:trHeight w:val="1934" w:hRule="atLeast"/>
        </w:trPr>
        <w:tc>
          <w:tcPr>
            <w:tcW w:w="4071"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贯彻执行《中华人民共和国残疾人保障法》、《重庆市残疾人保障条例》，联系残疾人，听取残疾人意见，反映残疾人要求，维护残疾人权益，为残疾人服务；开展残疾人康复、教育、文化、体育、福利、劳动就业、社会服务、辅助器具供应、法律援助服务、无障碍设施和残疾预防工作，创造良好的环境和条件，扶助残疾人平等参与社会生活。</w:t>
            </w:r>
          </w:p>
        </w:tc>
        <w:tc>
          <w:tcPr>
            <w:tcW w:w="2942"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2226"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贯彻执行《中华人民共和国残疾人保障法》、《重庆市残疾人保障条例》，联系残疾人，听取残疾人意见，反映残疾人要求，维护残疾人权益，为残疾人服务；开展残疾人康复、教育、文化、体育、福利、劳动就业、社会服务、辅助器具供应、法律援助服务、无障碍设施和残疾预防工作，创造良好的环境和条件，扶助残疾人平等参与社会生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 w:type="dxa"/>
          <w:trHeight w:val="600" w:hRule="atLeast"/>
        </w:trPr>
        <w:tc>
          <w:tcPr>
            <w:tcW w:w="9239" w:type="dxa"/>
            <w:gridSpan w:val="1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指标名称</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计量单位</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指标性质</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指标值</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全年完成值</w:t>
            </w:r>
          </w:p>
        </w:tc>
        <w:tc>
          <w:tcPr>
            <w:tcW w:w="9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偏离度（%）</w:t>
            </w:r>
          </w:p>
        </w:tc>
        <w:tc>
          <w:tcPr>
            <w:tcW w:w="73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得分系数（%）</w:t>
            </w:r>
          </w:p>
        </w:tc>
        <w:tc>
          <w:tcPr>
            <w:tcW w:w="6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指标权重</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指标得分</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是否核心指标</w:t>
            </w:r>
          </w:p>
        </w:tc>
        <w:tc>
          <w:tcPr>
            <w:tcW w:w="3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残疾人大学生补助数量</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人</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w:t>
            </w:r>
          </w:p>
        </w:tc>
        <w:tc>
          <w:tcPr>
            <w:tcW w:w="9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16.67</w:t>
            </w:r>
          </w:p>
        </w:tc>
        <w:tc>
          <w:tcPr>
            <w:tcW w:w="73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6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是</w:t>
            </w:r>
          </w:p>
        </w:tc>
        <w:tc>
          <w:tcPr>
            <w:tcW w:w="3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残疾人掌握基本职业技能数量</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门</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9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73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6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否</w:t>
            </w:r>
          </w:p>
        </w:tc>
        <w:tc>
          <w:tcPr>
            <w:tcW w:w="3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儿童康复救助人数</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人</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70</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75</w:t>
            </w:r>
          </w:p>
        </w:tc>
        <w:tc>
          <w:tcPr>
            <w:tcW w:w="9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7.14</w:t>
            </w:r>
          </w:p>
        </w:tc>
        <w:tc>
          <w:tcPr>
            <w:tcW w:w="73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6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是</w:t>
            </w:r>
          </w:p>
        </w:tc>
        <w:tc>
          <w:tcPr>
            <w:tcW w:w="3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家庭医生签约人数</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人（户）</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3000</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3001</w:t>
            </w:r>
          </w:p>
        </w:tc>
        <w:tc>
          <w:tcPr>
            <w:tcW w:w="9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0.03</w:t>
            </w:r>
          </w:p>
        </w:tc>
        <w:tc>
          <w:tcPr>
            <w:tcW w:w="73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6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否</w:t>
            </w:r>
          </w:p>
        </w:tc>
        <w:tc>
          <w:tcPr>
            <w:tcW w:w="3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职业技能培训人数</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人</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120</w:t>
            </w:r>
          </w:p>
        </w:tc>
        <w:tc>
          <w:tcPr>
            <w:tcW w:w="9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73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6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是</w:t>
            </w:r>
          </w:p>
        </w:tc>
        <w:tc>
          <w:tcPr>
            <w:tcW w:w="3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bookmarkStart w:id="0" w:name="_GoBack"/>
            <w:bookmarkEnd w:id="0"/>
            <w:r>
              <w:rPr>
                <w:rFonts w:hint="default" w:ascii="Times New Roman" w:hAnsi="Times New Roman" w:eastAsia="宋体" w:cs="Times New Roman"/>
                <w:i w:val="0"/>
                <w:iCs w:val="0"/>
                <w:color w:val="000000"/>
                <w:kern w:val="0"/>
                <w:sz w:val="22"/>
                <w:szCs w:val="22"/>
                <w:u w:val="none"/>
                <w:lang w:val="en-US" w:eastAsia="zh-CN" w:bidi="ar"/>
              </w:rPr>
              <w:t>补助发放准确率</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9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73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6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否</w:t>
            </w:r>
          </w:p>
        </w:tc>
        <w:tc>
          <w:tcPr>
            <w:tcW w:w="3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残疾人基本康复及辅助器具适配服务覆盖率</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85</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87</w:t>
            </w:r>
          </w:p>
        </w:tc>
        <w:tc>
          <w:tcPr>
            <w:tcW w:w="9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2.35</w:t>
            </w:r>
          </w:p>
        </w:tc>
        <w:tc>
          <w:tcPr>
            <w:tcW w:w="73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6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是</w:t>
            </w:r>
          </w:p>
        </w:tc>
        <w:tc>
          <w:tcPr>
            <w:tcW w:w="3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全县32个乡镇残疾人服务覆盖率</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both"/>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both"/>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9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both"/>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73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both"/>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6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both"/>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both"/>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both"/>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否</w:t>
            </w:r>
          </w:p>
        </w:tc>
        <w:tc>
          <w:tcPr>
            <w:tcW w:w="3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服务对象满意度</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95</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96</w:t>
            </w:r>
          </w:p>
        </w:tc>
        <w:tc>
          <w:tcPr>
            <w:tcW w:w="9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1.05</w:t>
            </w:r>
          </w:p>
        </w:tc>
        <w:tc>
          <w:tcPr>
            <w:tcW w:w="73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6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5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是</w:t>
            </w:r>
          </w:p>
        </w:tc>
        <w:tc>
          <w:tcPr>
            <w:tcW w:w="3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p>
        </w:tc>
      </w:tr>
    </w:tbl>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default" w:ascii="Times New Roman" w:hAnsi="Times New Roman" w:eastAsia="仿宋_GB2312" w:cs="Times New Roman"/>
          <w:b/>
          <w:bCs/>
          <w:color w:val="000000" w:themeColor="text1"/>
          <w:kern w:val="0"/>
          <w:sz w:val="32"/>
          <w:szCs w:val="32"/>
          <w:shd w:val="clear" w:fill="FFFFFF"/>
          <w14:textFill>
            <w14:solidFill>
              <w14:schemeClr w14:val="tx1"/>
            </w14:solidFill>
          </w14:textFill>
        </w:rPr>
      </w:pPr>
      <w:r>
        <w:rPr>
          <w:rFonts w:hint="default" w:ascii="Times New Roman" w:hAnsi="Times New Roman" w:eastAsia="仿宋_GB2312" w:cs="Times New Roman"/>
          <w:b/>
          <w:bCs/>
          <w:color w:val="000000" w:themeColor="text1"/>
          <w:kern w:val="0"/>
          <w:sz w:val="32"/>
          <w:szCs w:val="32"/>
          <w:shd w:val="clear" w:fill="FFFFFF"/>
          <w14:textFill>
            <w14:solidFill>
              <w14:schemeClr w14:val="tx1"/>
            </w14:solidFill>
          </w14:textFill>
        </w:rPr>
        <w:t>项目支出绩效自评表</w:t>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96"/>
        <w:gridCol w:w="917"/>
        <w:gridCol w:w="918"/>
        <w:gridCol w:w="702"/>
        <w:gridCol w:w="703"/>
        <w:gridCol w:w="693"/>
        <w:gridCol w:w="980"/>
        <w:gridCol w:w="497"/>
        <w:gridCol w:w="788"/>
        <w:gridCol w:w="773"/>
        <w:gridCol w:w="8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2024年度二级项目绩效自评表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b/>
                <w:bCs/>
                <w:i w:val="0"/>
                <w:iCs w:val="0"/>
                <w:color w:val="DA3232"/>
                <w:sz w:val="22"/>
                <w:szCs w:val="22"/>
                <w:u w:val="none"/>
              </w:rPr>
            </w:pPr>
            <w:r>
              <w:rPr>
                <w:rFonts w:hint="eastAsia" w:ascii="宋体" w:hAnsi="宋体" w:eastAsia="宋体" w:cs="宋体"/>
                <w:b/>
                <w:bCs/>
                <w:i w:val="0"/>
                <w:iCs w:val="0"/>
                <w:color w:val="DA3232"/>
                <w:kern w:val="0"/>
                <w:sz w:val="22"/>
                <w:szCs w:val="22"/>
                <w:u w:val="none"/>
                <w:lang w:val="en-US" w:eastAsia="zh-CN" w:bidi="ar"/>
              </w:rPr>
              <w:t>状态：业务审核已审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99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2024年度因公致残人员生活补助</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7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50023824T000004216305</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6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96.85</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99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061-巫溪县残疾人联合会</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7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006-社保科</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6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丁明蓉</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13648378715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2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7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7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2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8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87,500.00 </w:t>
            </w:r>
          </w:p>
        </w:tc>
        <w:tc>
          <w:tcPr>
            <w:tcW w:w="7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87,500.00 </w:t>
            </w:r>
          </w:p>
        </w:tc>
        <w:tc>
          <w:tcPr>
            <w:tcW w:w="7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87,500.00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2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8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87,500.00 </w:t>
            </w:r>
          </w:p>
        </w:tc>
        <w:tc>
          <w:tcPr>
            <w:tcW w:w="7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87,500.00 </w:t>
            </w:r>
          </w:p>
        </w:tc>
        <w:tc>
          <w:tcPr>
            <w:tcW w:w="7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87,500.00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2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8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87,500.00 </w:t>
            </w:r>
          </w:p>
        </w:tc>
        <w:tc>
          <w:tcPr>
            <w:tcW w:w="7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87,500.00 </w:t>
            </w:r>
          </w:p>
        </w:tc>
        <w:tc>
          <w:tcPr>
            <w:tcW w:w="7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87,500.00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12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55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31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2128"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对全县1976年以前因义务修建城泉公路、农田水利等致残的130人发放生活补助。</w:t>
            </w:r>
          </w:p>
        </w:tc>
        <w:tc>
          <w:tcPr>
            <w:tcW w:w="1554"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316"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对全县1976年以前因义务修建城泉公路、农田水利等致残的130人发放生活补助。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0" w:hRule="atLeast"/>
        </w:trPr>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发放补助人数</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130</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8.33</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资金发放及时率</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94</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1.05</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89.5</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26.85</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补助发放涉及乡镇覆盖率</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r>
    </w:tbl>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default" w:ascii="Times New Roman" w:hAnsi="Times New Roman" w:eastAsia="仿宋_GB2312" w:cs="Times New Roman"/>
          <w:b/>
          <w:bCs/>
          <w:color w:val="000000" w:themeColor="text1"/>
          <w:kern w:val="0"/>
          <w:sz w:val="32"/>
          <w:szCs w:val="32"/>
          <w:shd w:val="clear" w:fill="FFFFFF"/>
          <w14:textFill>
            <w14:solidFill>
              <w14:schemeClr w14:val="tx1"/>
            </w14:solidFill>
          </w14:textFill>
        </w:rPr>
      </w:pPr>
    </w:p>
    <w:p>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4" w:lineRule="exact"/>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Style w:val="11"/>
          <w:rFonts w:hint="default" w:ascii="Times New Roman" w:hAnsi="Times New Roman" w:eastAsia="仿宋_GB2312" w:cs="Times New Roman"/>
          <w:b/>
          <w:bCs/>
          <w:color w:val="000000" w:themeColor="text1"/>
          <w:sz w:val="32"/>
          <w:szCs w:val="32"/>
          <w:shd w:val="clear" w:fill="FFFFFF"/>
          <w14:textFill>
            <w14:solidFill>
              <w14:schemeClr w14:val="tx1"/>
            </w14:solidFill>
          </w14:textFill>
        </w:rPr>
        <w:t xml:space="preserve"> </w:t>
      </w:r>
      <w:r>
        <w:rPr>
          <w:rStyle w:val="11"/>
          <w:rFonts w:hint="default" w:ascii="Times New Roman" w:hAnsi="Times New Roman" w:eastAsia="仿宋_GB2312" w:cs="Times New Roman"/>
          <w:b/>
          <w:bCs/>
          <w:color w:val="000000" w:themeColor="text1"/>
          <w:sz w:val="32"/>
          <w:szCs w:val="32"/>
          <w:shd w:val="clear" w:fill="FFFFFF"/>
          <w:lang w:val="en-US" w:eastAsia="zh-CN"/>
          <w14:textFill>
            <w14:solidFill>
              <w14:schemeClr w14:val="tx1"/>
            </w14:solidFill>
          </w14:textFill>
        </w:rPr>
        <w:t xml:space="preserve">  </w:t>
      </w:r>
      <w:r>
        <w:rPr>
          <w:rStyle w:val="8"/>
          <w:rFonts w:hint="default" w:ascii="Times New Roman" w:hAnsi="Times New Roman" w:eastAsia="仿宋_GB2312" w:cs="Times New Roman"/>
          <w:color w:val="000000" w:themeColor="text1"/>
          <w:sz w:val="32"/>
          <w:szCs w:val="32"/>
          <w:shd w:val="clear" w:color="auto" w:fill="FFFFFF"/>
          <w:lang w:val="en-US" w:eastAsia="zh-CN" w:bidi="ar-SA"/>
          <w14:textFill>
            <w14:solidFill>
              <w14:schemeClr w14:val="tx1"/>
            </w14:solidFill>
          </w14:textFill>
        </w:rPr>
        <w:t xml:space="preserve"> 六、专业名词解释</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2" w:firstLineChars="200"/>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Style w:val="8"/>
          <w:rFonts w:hint="default" w:ascii="Times New Roman" w:hAnsi="Times New Roman" w:eastAsia="仿宋_GB2312" w:cs="Times New Roman"/>
          <w:color w:val="000000" w:themeColor="text1"/>
          <w:sz w:val="32"/>
          <w:szCs w:val="32"/>
          <w:shd w:val="clear" w:color="auto" w:fill="FFFFFF"/>
          <w:lang w:val="en-US" w:eastAsia="zh-CN" w:bidi="ar-SA"/>
          <w14:textFill>
            <w14:solidFill>
              <w14:schemeClr w14:val="tx1"/>
            </w14:solidFill>
          </w14:textFill>
        </w:rPr>
        <w:t>（一）财政拨款收入：</w:t>
      </w:r>
      <w:r>
        <w:rPr>
          <w:rFonts w:hint="default" w:ascii="Times New Roman" w:hAnsi="Times New Roman" w:eastAsia="仿宋_GB2312" w:cs="Times New Roman"/>
          <w:color w:val="000000" w:themeColor="text1"/>
          <w:kern w:val="0"/>
          <w:sz w:val="32"/>
          <w:szCs w:val="32"/>
          <w:shd w:val="clear" w:fill="FFFFFF"/>
          <w14:textFill>
            <w14:solidFill>
              <w14:schemeClr w14:val="tx1"/>
            </w14:solidFill>
          </w14:textFill>
        </w:rPr>
        <w:t>指本年度从本级财政部门取得的财政拨款，包括一般公共预算财政拨款和政府性基金预算财政拨款。</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2" w:firstLineChars="200"/>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Style w:val="8"/>
          <w:rFonts w:hint="default" w:ascii="Times New Roman" w:hAnsi="Times New Roman" w:eastAsia="仿宋_GB2312" w:cs="Times New Roman"/>
          <w:color w:val="000000" w:themeColor="text1"/>
          <w:sz w:val="32"/>
          <w:szCs w:val="32"/>
          <w:shd w:val="clear" w:color="auto" w:fill="FFFFFF"/>
          <w:lang w:val="en-US" w:eastAsia="zh-CN" w:bidi="ar-SA"/>
          <w14:textFill>
            <w14:solidFill>
              <w14:schemeClr w14:val="tx1"/>
            </w14:solidFill>
          </w14:textFill>
        </w:rPr>
        <w:t>（二）事业收入：</w:t>
      </w:r>
      <w:r>
        <w:rPr>
          <w:rFonts w:hint="default" w:ascii="Times New Roman" w:hAnsi="Times New Roman" w:eastAsia="仿宋_GB2312" w:cs="Times New Roman"/>
          <w:color w:val="000000" w:themeColor="text1"/>
          <w:kern w:val="0"/>
          <w:sz w:val="32"/>
          <w:szCs w:val="32"/>
          <w:shd w:val="clear" w:fill="FFFFFF"/>
          <w14:textFill>
            <w14:solidFill>
              <w14:schemeClr w14:val="tx1"/>
            </w14:solidFill>
          </w14:textFill>
        </w:rPr>
        <w:t>指事业单位开展专业业务活动及其辅助活动取得的现金流入；事业单位收到的财政专户实际核拨的教育收费等资金在此反映。</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2" w:firstLineChars="200"/>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Style w:val="8"/>
          <w:rFonts w:hint="default" w:ascii="Times New Roman" w:hAnsi="Times New Roman" w:eastAsia="仿宋_GB2312" w:cs="Times New Roman"/>
          <w:color w:val="000000" w:themeColor="text1"/>
          <w:sz w:val="32"/>
          <w:szCs w:val="32"/>
          <w:shd w:val="clear" w:color="auto" w:fill="FFFFFF"/>
          <w:lang w:val="en-US" w:eastAsia="zh-CN" w:bidi="ar-SA"/>
          <w14:textFill>
            <w14:solidFill>
              <w14:schemeClr w14:val="tx1"/>
            </w14:solidFill>
          </w14:textFill>
        </w:rPr>
        <w:t>（三）经营收入：</w:t>
      </w:r>
      <w:r>
        <w:rPr>
          <w:rFonts w:hint="default" w:ascii="Times New Roman" w:hAnsi="Times New Roman" w:eastAsia="仿宋_GB2312" w:cs="Times New Roman"/>
          <w:color w:val="000000" w:themeColor="text1"/>
          <w:kern w:val="0"/>
          <w:sz w:val="32"/>
          <w:szCs w:val="32"/>
          <w:shd w:val="clear" w:fill="FFFFFF"/>
          <w14:textFill>
            <w14:solidFill>
              <w14:schemeClr w14:val="tx1"/>
            </w14:solidFill>
          </w14:textFill>
        </w:rPr>
        <w:t>指事业单位在专业业务活动及其辅助活动之外开展非独立核算经营活动取得的现金流入。</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2" w:firstLineChars="200"/>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Style w:val="8"/>
          <w:rFonts w:hint="default" w:ascii="Times New Roman" w:hAnsi="Times New Roman" w:eastAsia="仿宋_GB2312" w:cs="Times New Roman"/>
          <w:color w:val="000000" w:themeColor="text1"/>
          <w:sz w:val="32"/>
          <w:szCs w:val="32"/>
          <w:shd w:val="clear" w:color="auto" w:fill="FFFFFF"/>
          <w:lang w:val="en-US" w:eastAsia="zh-CN" w:bidi="ar-SA"/>
          <w14:textFill>
            <w14:solidFill>
              <w14:schemeClr w14:val="tx1"/>
            </w14:solidFill>
          </w14:textFill>
        </w:rPr>
        <w:t>（四）其他收入：</w:t>
      </w:r>
      <w:r>
        <w:rPr>
          <w:rFonts w:hint="default" w:ascii="Times New Roman" w:hAnsi="Times New Roman" w:eastAsia="仿宋_GB2312" w:cs="Times New Roman"/>
          <w:color w:val="000000" w:themeColor="text1"/>
          <w:kern w:val="0"/>
          <w:sz w:val="32"/>
          <w:szCs w:val="32"/>
          <w:shd w:val="clear" w:fill="FFFFFF"/>
          <w14:textFill>
            <w14:solidFill>
              <w14:schemeClr w14:val="tx1"/>
            </w14:solidFill>
          </w14:textFill>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2" w:firstLineChars="200"/>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Style w:val="8"/>
          <w:rFonts w:hint="default" w:ascii="Times New Roman" w:hAnsi="Times New Roman" w:eastAsia="仿宋_GB2312" w:cs="Times New Roman"/>
          <w:color w:val="000000" w:themeColor="text1"/>
          <w:sz w:val="32"/>
          <w:szCs w:val="32"/>
          <w:shd w:val="clear" w:color="auto" w:fill="FFFFFF"/>
          <w:lang w:val="en-US" w:eastAsia="zh-CN" w:bidi="ar-SA"/>
          <w14:textFill>
            <w14:solidFill>
              <w14:schemeClr w14:val="tx1"/>
            </w14:solidFill>
          </w14:textFill>
        </w:rPr>
        <w:t>（五）使用非财政拨款结余：</w:t>
      </w:r>
      <w:r>
        <w:rPr>
          <w:rFonts w:hint="default" w:ascii="Times New Roman" w:hAnsi="Times New Roman" w:eastAsia="仿宋_GB2312" w:cs="Times New Roman"/>
          <w:color w:val="000000" w:themeColor="text1"/>
          <w:kern w:val="0"/>
          <w:sz w:val="32"/>
          <w:szCs w:val="32"/>
          <w:shd w:val="clear" w:fill="FFFFFF"/>
          <w14:textFill>
            <w14:solidFill>
              <w14:schemeClr w14:val="tx1"/>
            </w14:solidFill>
          </w14:textFill>
        </w:rPr>
        <w:t>指单位在当年的“财政拨款收入”、“事业收入”、“经营收入”、“其他收入”等不足以安排当年支出的情况下，使用以前年度积累的非财政拨款结余弥补本年度收支缺口的资金。</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2" w:firstLineChars="200"/>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Style w:val="8"/>
          <w:rFonts w:hint="default" w:ascii="Times New Roman" w:hAnsi="Times New Roman" w:eastAsia="仿宋_GB2312" w:cs="Times New Roman"/>
          <w:color w:val="000000" w:themeColor="text1"/>
          <w:sz w:val="32"/>
          <w:szCs w:val="32"/>
          <w:shd w:val="clear" w:color="auto" w:fill="FFFFFF"/>
          <w:lang w:val="en-US" w:eastAsia="zh-CN" w:bidi="ar-SA"/>
          <w14:textFill>
            <w14:solidFill>
              <w14:schemeClr w14:val="tx1"/>
            </w14:solidFill>
          </w14:textFill>
        </w:rPr>
        <w:t>（六）年初结转和结余：</w:t>
      </w:r>
      <w:r>
        <w:rPr>
          <w:rFonts w:hint="default" w:ascii="Times New Roman" w:hAnsi="Times New Roman" w:eastAsia="仿宋_GB2312" w:cs="Times New Roman"/>
          <w:color w:val="000000" w:themeColor="text1"/>
          <w:kern w:val="0"/>
          <w:sz w:val="32"/>
          <w:szCs w:val="32"/>
          <w:shd w:val="clear" w:fill="FFFFFF"/>
          <w14:textFill>
            <w14:solidFill>
              <w14:schemeClr w14:val="tx1"/>
            </w14:solidFill>
          </w14:textFill>
        </w:rPr>
        <w:t>指单位上年结转本年使用的基本支出结转、项目支出结转和结余、经营结余。</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2" w:firstLineChars="200"/>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Style w:val="8"/>
          <w:rFonts w:hint="default" w:ascii="Times New Roman" w:hAnsi="Times New Roman" w:eastAsia="仿宋_GB2312" w:cs="Times New Roman"/>
          <w:color w:val="000000" w:themeColor="text1"/>
          <w:sz w:val="32"/>
          <w:szCs w:val="32"/>
          <w:shd w:val="clear" w:color="auto" w:fill="FFFFFF"/>
          <w:lang w:val="en-US" w:eastAsia="zh-CN" w:bidi="ar-SA"/>
          <w14:textFill>
            <w14:solidFill>
              <w14:schemeClr w14:val="tx1"/>
            </w14:solidFill>
          </w14:textFill>
        </w:rPr>
        <w:t>（七）结余分配：</w:t>
      </w:r>
      <w:r>
        <w:rPr>
          <w:rFonts w:hint="default" w:ascii="Times New Roman" w:hAnsi="Times New Roman" w:eastAsia="仿宋_GB2312" w:cs="Times New Roman"/>
          <w:color w:val="000000" w:themeColor="text1"/>
          <w:kern w:val="0"/>
          <w:sz w:val="32"/>
          <w:szCs w:val="32"/>
          <w:shd w:val="clear" w:fill="FFFFFF"/>
          <w14:textFill>
            <w14:solidFill>
              <w14:schemeClr w14:val="tx1"/>
            </w14:solidFill>
          </w14:textFill>
        </w:rPr>
        <w:t>指单位按照国家有关规定，缴纳所得税、提取专用基金、转入非财政拨款结余等当年结余的分配情况。</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2" w:firstLineChars="200"/>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Style w:val="8"/>
          <w:rFonts w:hint="default" w:ascii="Times New Roman" w:hAnsi="Times New Roman" w:eastAsia="仿宋_GB2312" w:cs="Times New Roman"/>
          <w:color w:val="000000" w:themeColor="text1"/>
          <w:sz w:val="32"/>
          <w:szCs w:val="32"/>
          <w:shd w:val="clear" w:color="auto" w:fill="FFFFFF"/>
          <w:lang w:val="en-US" w:eastAsia="zh-CN" w:bidi="ar-SA"/>
          <w14:textFill>
            <w14:solidFill>
              <w14:schemeClr w14:val="tx1"/>
            </w14:solidFill>
          </w14:textFill>
        </w:rPr>
        <w:t>（八）年末结转和结余：</w:t>
      </w:r>
      <w:r>
        <w:rPr>
          <w:rFonts w:hint="default" w:ascii="Times New Roman" w:hAnsi="Times New Roman" w:eastAsia="仿宋_GB2312" w:cs="Times New Roman"/>
          <w:color w:val="000000" w:themeColor="text1"/>
          <w:kern w:val="0"/>
          <w:sz w:val="32"/>
          <w:szCs w:val="32"/>
          <w:shd w:val="clear" w:fill="FFFFFF"/>
          <w14:textFill>
            <w14:solidFill>
              <w14:schemeClr w14:val="tx1"/>
            </w14:solidFill>
          </w14:textFill>
        </w:rPr>
        <w:t>指单位结转下年的基本支出结转、项目支出结转和结余、经营结余。</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2" w:firstLineChars="200"/>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Style w:val="8"/>
          <w:rFonts w:hint="default" w:ascii="Times New Roman" w:hAnsi="Times New Roman" w:eastAsia="仿宋_GB2312" w:cs="Times New Roman"/>
          <w:color w:val="000000" w:themeColor="text1"/>
          <w:sz w:val="32"/>
          <w:szCs w:val="32"/>
          <w:shd w:val="clear" w:color="auto" w:fill="FFFFFF"/>
          <w:lang w:val="en-US" w:eastAsia="zh-CN" w:bidi="ar-SA"/>
          <w14:textFill>
            <w14:solidFill>
              <w14:schemeClr w14:val="tx1"/>
            </w14:solidFill>
          </w14:textFill>
        </w:rPr>
        <w:t>（九）基本支出：</w:t>
      </w:r>
      <w:r>
        <w:rPr>
          <w:rFonts w:hint="default" w:ascii="Times New Roman" w:hAnsi="Times New Roman" w:eastAsia="仿宋_GB2312" w:cs="Times New Roman"/>
          <w:color w:val="000000" w:themeColor="text1"/>
          <w:kern w:val="0"/>
          <w:sz w:val="32"/>
          <w:szCs w:val="32"/>
          <w:shd w:val="clear" w:fill="FFFFFF"/>
          <w14:textFill>
            <w14:solidFill>
              <w14:schemeClr w14:val="tx1"/>
            </w14:solidFill>
          </w14:textFill>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2" w:firstLineChars="200"/>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Style w:val="8"/>
          <w:rFonts w:hint="default" w:ascii="Times New Roman" w:hAnsi="Times New Roman" w:eastAsia="仿宋_GB2312" w:cs="Times New Roman"/>
          <w:color w:val="000000" w:themeColor="text1"/>
          <w:sz w:val="32"/>
          <w:szCs w:val="32"/>
          <w:shd w:val="clear" w:color="auto" w:fill="FFFFFF"/>
          <w:lang w:val="en-US" w:eastAsia="zh-CN" w:bidi="ar-SA"/>
          <w14:textFill>
            <w14:solidFill>
              <w14:schemeClr w14:val="tx1"/>
            </w14:solidFill>
          </w14:textFill>
        </w:rPr>
        <w:t>（十）项目支出：</w:t>
      </w:r>
      <w:r>
        <w:rPr>
          <w:rFonts w:hint="default" w:ascii="Times New Roman" w:hAnsi="Times New Roman" w:eastAsia="仿宋_GB2312" w:cs="Times New Roman"/>
          <w:color w:val="000000" w:themeColor="text1"/>
          <w:kern w:val="0"/>
          <w:sz w:val="32"/>
          <w:szCs w:val="32"/>
          <w:shd w:val="clear" w:fill="FFFFFF"/>
          <w14:textFill>
            <w14:solidFill>
              <w14:schemeClr w14:val="tx1"/>
            </w14:solidFill>
          </w14:textFill>
        </w:rPr>
        <w:t>指在基本支出之外为完成特定行政任务和事业发展目标所发生的支出。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2" w:firstLineChars="200"/>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Style w:val="8"/>
          <w:rFonts w:hint="default" w:ascii="Times New Roman" w:hAnsi="Times New Roman" w:eastAsia="仿宋_GB2312" w:cs="Times New Roman"/>
          <w:color w:val="000000" w:themeColor="text1"/>
          <w:sz w:val="32"/>
          <w:szCs w:val="32"/>
          <w:shd w:val="clear" w:color="auto" w:fill="FFFFFF"/>
          <w:lang w:val="en-US" w:eastAsia="zh-CN" w:bidi="ar-SA"/>
          <w14:textFill>
            <w14:solidFill>
              <w14:schemeClr w14:val="tx1"/>
            </w14:solidFill>
          </w14:textFill>
        </w:rPr>
        <w:t>（十一）经营支出：</w:t>
      </w:r>
      <w:r>
        <w:rPr>
          <w:rFonts w:hint="default" w:ascii="Times New Roman" w:hAnsi="Times New Roman" w:eastAsia="仿宋_GB2312" w:cs="Times New Roman"/>
          <w:color w:val="000000" w:themeColor="text1"/>
          <w:kern w:val="0"/>
          <w:sz w:val="32"/>
          <w:szCs w:val="32"/>
          <w:shd w:val="clear" w:fill="FFFFFF"/>
          <w14:textFill>
            <w14:solidFill>
              <w14:schemeClr w14:val="tx1"/>
            </w14:solidFill>
          </w14:textFill>
        </w:rPr>
        <w:t>指事业单位在专业业务活动及其辅助活动之外开展非独立核算经营活动发生的支出。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2" w:firstLineChars="200"/>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Style w:val="8"/>
          <w:rFonts w:hint="default" w:ascii="Times New Roman" w:hAnsi="Times New Roman" w:eastAsia="仿宋_GB2312" w:cs="Times New Roman"/>
          <w:color w:val="000000" w:themeColor="text1"/>
          <w:sz w:val="32"/>
          <w:szCs w:val="32"/>
          <w:shd w:val="clear" w:color="auto" w:fill="FFFFFF"/>
          <w:lang w:val="en-US" w:eastAsia="zh-CN" w:bidi="ar-SA"/>
          <w14:textFill>
            <w14:solidFill>
              <w14:schemeClr w14:val="tx1"/>
            </w14:solidFill>
          </w14:textFill>
        </w:rPr>
        <w:t>（十二）“三公”经费：</w:t>
      </w:r>
      <w:r>
        <w:rPr>
          <w:rFonts w:hint="default" w:ascii="Times New Roman" w:hAnsi="Times New Roman" w:eastAsia="仿宋_GB2312" w:cs="Times New Roman"/>
          <w:color w:val="000000" w:themeColor="text1"/>
          <w:kern w:val="0"/>
          <w:sz w:val="32"/>
          <w:szCs w:val="32"/>
          <w:shd w:val="clear" w:fill="FFFFFF"/>
          <w14:textFill>
            <w14:solidFill>
              <w14:schemeClr w14:val="tx1"/>
            </w14:solidFill>
          </w14:textFill>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2" w:firstLineChars="200"/>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Style w:val="8"/>
          <w:rFonts w:hint="default" w:ascii="Times New Roman" w:hAnsi="Times New Roman" w:eastAsia="仿宋_GB2312" w:cs="Times New Roman"/>
          <w:color w:val="000000" w:themeColor="text1"/>
          <w:sz w:val="32"/>
          <w:szCs w:val="32"/>
          <w:shd w:val="clear" w:color="auto" w:fill="FFFFFF"/>
          <w:lang w:val="en-US" w:eastAsia="zh-CN" w:bidi="ar-SA"/>
          <w14:textFill>
            <w14:solidFill>
              <w14:schemeClr w14:val="tx1"/>
            </w14:solidFill>
          </w14:textFill>
        </w:rPr>
        <w:t>（十三）机关运行经费：</w:t>
      </w:r>
      <w:r>
        <w:rPr>
          <w:rFonts w:hint="default" w:ascii="Times New Roman" w:hAnsi="Times New Roman" w:eastAsia="仿宋_GB2312" w:cs="Times New Roman"/>
          <w:color w:val="000000" w:themeColor="text1"/>
          <w:kern w:val="0"/>
          <w:sz w:val="32"/>
          <w:szCs w:val="32"/>
          <w:shd w:val="clear" w:fill="FFFFFF"/>
          <w14:textFill>
            <w14:solidFill>
              <w14:schemeClr w14:val="tx1"/>
            </w14:solidFill>
          </w14:textFill>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2" w:firstLineChars="200"/>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Style w:val="8"/>
          <w:rFonts w:hint="default" w:ascii="Times New Roman" w:hAnsi="Times New Roman" w:eastAsia="仿宋_GB2312" w:cs="Times New Roman"/>
          <w:color w:val="000000" w:themeColor="text1"/>
          <w:sz w:val="32"/>
          <w:szCs w:val="32"/>
          <w:shd w:val="clear" w:color="auto" w:fill="FFFFFF"/>
          <w:lang w:val="en-US" w:eastAsia="zh-CN" w:bidi="ar-SA"/>
          <w14:textFill>
            <w14:solidFill>
              <w14:schemeClr w14:val="tx1"/>
            </w14:solidFill>
          </w14:textFill>
        </w:rPr>
        <w:t>（十四）工资福利支出（支出经济分类科目类级）：</w:t>
      </w:r>
      <w:r>
        <w:rPr>
          <w:rFonts w:hint="default" w:ascii="Times New Roman" w:hAnsi="Times New Roman" w:eastAsia="仿宋_GB2312" w:cs="Times New Roman"/>
          <w:color w:val="000000" w:themeColor="text1"/>
          <w:kern w:val="0"/>
          <w:sz w:val="32"/>
          <w:szCs w:val="32"/>
          <w:shd w:val="clear" w:fill="FFFFFF"/>
          <w14:textFill>
            <w14:solidFill>
              <w14:schemeClr w14:val="tx1"/>
            </w14:solidFill>
          </w14:textFill>
        </w:rPr>
        <w:t>反映单位开支的在职职工和编制外长期聘用人员的各类劳动报酬，以及为上述人员缴纳的各项社会保险费等。</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2" w:firstLineChars="200"/>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Style w:val="8"/>
          <w:rFonts w:hint="default" w:ascii="Times New Roman" w:hAnsi="Times New Roman" w:eastAsia="仿宋_GB2312" w:cs="Times New Roman"/>
          <w:color w:val="000000" w:themeColor="text1"/>
          <w:sz w:val="32"/>
          <w:szCs w:val="32"/>
          <w:shd w:val="clear" w:color="auto" w:fill="FFFFFF"/>
          <w:lang w:val="en-US" w:eastAsia="zh-CN" w:bidi="ar-SA"/>
          <w14:textFill>
            <w14:solidFill>
              <w14:schemeClr w14:val="tx1"/>
            </w14:solidFill>
          </w14:textFill>
        </w:rPr>
        <w:t>（十五）商品和服务支出（支出经济分类科目类级）：</w:t>
      </w:r>
      <w:r>
        <w:rPr>
          <w:rFonts w:hint="default" w:ascii="Times New Roman" w:hAnsi="Times New Roman" w:eastAsia="仿宋_GB2312" w:cs="Times New Roman"/>
          <w:color w:val="000000" w:themeColor="text1"/>
          <w:kern w:val="0"/>
          <w:sz w:val="32"/>
          <w:szCs w:val="32"/>
          <w:shd w:val="clear" w:fill="FFFFFF"/>
          <w14:textFill>
            <w14:solidFill>
              <w14:schemeClr w14:val="tx1"/>
            </w14:solidFill>
          </w14:textFill>
        </w:rPr>
        <w:t>反映单位购买商品和服务的支出（不包括用于购置固定资产的支出、战略性和应急储备支出）。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2" w:firstLineChars="200"/>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Style w:val="8"/>
          <w:rFonts w:hint="default" w:ascii="Times New Roman" w:hAnsi="Times New Roman" w:eastAsia="仿宋_GB2312" w:cs="Times New Roman"/>
          <w:color w:val="000000" w:themeColor="text1"/>
          <w:sz w:val="32"/>
          <w:szCs w:val="32"/>
          <w:shd w:val="clear" w:color="auto" w:fill="FFFFFF"/>
          <w:lang w:val="en-US" w:eastAsia="zh-CN" w:bidi="ar-SA"/>
          <w14:textFill>
            <w14:solidFill>
              <w14:schemeClr w14:val="tx1"/>
            </w14:solidFill>
          </w14:textFill>
        </w:rPr>
        <w:t>（十六）对个人和家庭的补助（支出经济分类科目类级）：</w:t>
      </w:r>
      <w:r>
        <w:rPr>
          <w:rFonts w:hint="default" w:ascii="Times New Roman" w:hAnsi="Times New Roman" w:eastAsia="仿宋_GB2312" w:cs="Times New Roman"/>
          <w:color w:val="000000" w:themeColor="text1"/>
          <w:kern w:val="0"/>
          <w:sz w:val="32"/>
          <w:szCs w:val="32"/>
          <w:shd w:val="clear" w:fill="FFFFFF"/>
          <w14:textFill>
            <w14:solidFill>
              <w14:schemeClr w14:val="tx1"/>
            </w14:solidFill>
          </w14:textFill>
        </w:rPr>
        <w:t>反映用于对个人和家庭的补助支出。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2" w:firstLineChars="200"/>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Style w:val="8"/>
          <w:rFonts w:hint="default" w:ascii="Times New Roman" w:hAnsi="Times New Roman" w:eastAsia="仿宋_GB2312" w:cs="Times New Roman"/>
          <w:color w:val="000000" w:themeColor="text1"/>
          <w:sz w:val="32"/>
          <w:szCs w:val="32"/>
          <w:shd w:val="clear" w:color="auto" w:fill="FFFFFF"/>
          <w:lang w:val="en-US" w:eastAsia="zh-CN" w:bidi="ar-SA"/>
          <w14:textFill>
            <w14:solidFill>
              <w14:schemeClr w14:val="tx1"/>
            </w14:solidFill>
          </w14:textFill>
        </w:rPr>
        <w:t>（十七）其他资本性支出（支出经济分类科目类级）：</w:t>
      </w:r>
      <w:r>
        <w:rPr>
          <w:rFonts w:hint="default" w:ascii="Times New Roman" w:hAnsi="Times New Roman" w:eastAsia="仿宋_GB2312" w:cs="Times New Roman"/>
          <w:color w:val="000000" w:themeColor="text1"/>
          <w:kern w:val="0"/>
          <w:sz w:val="32"/>
          <w:szCs w:val="32"/>
          <w:shd w:val="clear" w:fill="FFFFFF"/>
          <w14:textFill>
            <w14:solidFill>
              <w14:schemeClr w14:val="tx1"/>
            </w14:solidFill>
          </w14:textFill>
        </w:rPr>
        <w:t>反映非各级发展与改革部门集中安排的用于购置固定资产、战略性和应急性储备、土地和无形资产，以及构建基础设施、大型修缮和财政支持企业更新改造所发生的支出。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2" w:firstLineChars="200"/>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Style w:val="8"/>
          <w:rFonts w:hint="default" w:ascii="Times New Roman" w:hAnsi="Times New Roman" w:eastAsia="仿宋_GB2312" w:cs="Times New Roman"/>
          <w:color w:val="000000" w:themeColor="text1"/>
          <w:sz w:val="32"/>
          <w:szCs w:val="32"/>
          <w:shd w:val="clear" w:color="auto" w:fill="FFFFFF"/>
          <w:lang w:val="en-US" w:eastAsia="zh-CN" w:bidi="ar-SA"/>
          <w14:textFill>
            <w14:solidFill>
              <w14:schemeClr w14:val="tx1"/>
            </w14:solidFill>
          </w14:textFill>
        </w:rPr>
        <w:t>七、决算公开联系方式及信息反馈渠道</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shd w:val="clear" w:fill="FFFFFF"/>
          <w14:textFill>
            <w14:solidFill>
              <w14:schemeClr w14:val="tx1"/>
            </w14:solidFill>
          </w14:textFill>
        </w:rPr>
        <w:t>本单位决算公开信息反馈和联系方式：</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shd w:val="clear" w:fill="FFFFFF"/>
          <w14:textFill>
            <w14:solidFill>
              <w14:schemeClr w14:val="tx1"/>
            </w14:solidFill>
          </w14:textFill>
        </w:rPr>
        <w:t xml:space="preserve"> </w:t>
      </w:r>
      <w:r>
        <w:rPr>
          <w:rFonts w:hint="eastAsia" w:ascii="Times New Roman" w:hAnsi="Times New Roman" w:eastAsia="仿宋_GB2312" w:cs="Times New Roman"/>
          <w:color w:val="000000" w:themeColor="text1"/>
          <w:kern w:val="0"/>
          <w:sz w:val="32"/>
          <w:szCs w:val="32"/>
          <w:shd w:val="clear" w:fill="FFFFFF"/>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kern w:val="0"/>
          <w:sz w:val="32"/>
          <w:szCs w:val="32"/>
          <w:shd w:val="clear" w:fill="FFFFFF"/>
          <w14:textFill>
            <w14:solidFill>
              <w14:schemeClr w14:val="tx1"/>
            </w14:solidFill>
          </w14:textFill>
        </w:rPr>
        <w:t>023-</w:t>
      </w:r>
      <w:r>
        <w:rPr>
          <w:rFonts w:hint="default" w:ascii="Times New Roman" w:hAnsi="Times New Roman" w:eastAsia="仿宋_GB2312" w:cs="Times New Roman"/>
          <w:color w:val="000000" w:themeColor="text1"/>
          <w:kern w:val="0"/>
          <w:sz w:val="32"/>
          <w:szCs w:val="32"/>
          <w:shd w:val="clear" w:fill="FFFFFF"/>
          <w:lang w:val="en-US" w:eastAsia="zh-CN"/>
          <w14:textFill>
            <w14:solidFill>
              <w14:schemeClr w14:val="tx1"/>
            </w14:solidFill>
          </w14:textFill>
        </w:rPr>
        <w:t>51521095</w:t>
      </w:r>
    </w:p>
    <w:p>
      <w:pPr>
        <w:pStyle w:val="9"/>
        <w:keepNext w:val="0"/>
        <w:keepLines w:val="0"/>
        <w:pageBreakBefore w:val="0"/>
        <w:widowControl/>
        <w:kinsoku/>
        <w:wordWrap/>
        <w:overflowPunct/>
        <w:topLinePunct w:val="0"/>
        <w:autoSpaceDE w:val="0"/>
        <w:autoSpaceDN/>
        <w:bidi w:val="0"/>
        <w:adjustRightInd/>
        <w:spacing w:line="594" w:lineRule="exact"/>
        <w:ind w:firstLine="640"/>
        <w:jc w:val="both"/>
        <w:textAlignment w:val="auto"/>
        <w:rPr>
          <w:rStyle w:val="8"/>
          <w:rFonts w:hint="default" w:ascii="Times New Roman" w:hAnsi="Times New Roman" w:eastAsia="仿宋_GB2312" w:cs="Times New Roman"/>
          <w:color w:val="000000" w:themeColor="text1"/>
          <w:sz w:val="32"/>
          <w:szCs w:val="32"/>
          <w:shd w:val="clear" w:color="auto" w:fill="FFFF00"/>
          <w14:textFill>
            <w14:solidFill>
              <w14:schemeClr w14:val="tx1"/>
            </w14:solidFill>
          </w14:textFill>
        </w:rPr>
        <w:sectPr>
          <w:footerReference r:id="rId3" w:type="default"/>
          <w:pgSz w:w="11915" w:h="16840"/>
          <w:pgMar w:top="1984" w:right="1446" w:bottom="1644" w:left="1446" w:header="851" w:footer="992" w:gutter="0"/>
          <w:pgNumType w:fmt="numberInDash"/>
          <w:cols w:space="720" w:num="1"/>
          <w:docGrid w:type="lines" w:linePitch="312" w:charSpace="0"/>
        </w:sectPr>
      </w:pP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p>
    <w:tbl>
      <w:tblPr>
        <w:tblStyle w:val="6"/>
        <w:tblW w:w="192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7"/>
        <w:gridCol w:w="850"/>
        <w:gridCol w:w="4436"/>
        <w:gridCol w:w="4433"/>
        <w:gridCol w:w="767"/>
        <w:gridCol w:w="43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207"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4863"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sz w:val="20"/>
                <w:szCs w:val="20"/>
              </w:rPr>
              <w:t>：</w:t>
            </w:r>
            <w:r>
              <w:rPr>
                <w:sz w:val="20"/>
                <w:u w:color="auto"/>
              </w:rPr>
              <w:t>巫溪县残疾人联合会</w:t>
            </w:r>
          </w:p>
        </w:tc>
        <w:tc>
          <w:tcPr>
            <w:tcW w:w="434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4863"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34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954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1,356.89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179.10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436"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1,330.35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11.58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179.10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1,535.99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1,535.99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67"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1,535.99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67"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1,535.99</w:t>
            </w:r>
          </w:p>
        </w:tc>
      </w:tr>
    </w:tbl>
    <w:p>
      <w:pPr>
        <w:pStyle w:val="9"/>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pPr>
        <w:pStyle w:val="9"/>
        <w:numPr>
          <w:ilvl w:val="0"/>
          <w:numId w:val="0"/>
        </w:numPr>
        <w:autoSpaceDE w:val="0"/>
        <w:rPr>
          <w:rFonts w:hint="eastAsia" w:ascii="宋体" w:hAnsi="宋体" w:eastAsia="宋体" w:cs="宋体"/>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7"/>
        <w:gridCol w:w="500"/>
        <w:gridCol w:w="484"/>
        <w:gridCol w:w="4166"/>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1"/>
                <w:szCs w:val="21"/>
                <w:lang w:eastAsia="zh-CN"/>
              </w:rPr>
              <w:t>部门</w:t>
            </w:r>
            <w:r>
              <w:rPr>
                <w:rFonts w:cs="宋体"/>
                <w:sz w:val="20"/>
                <w:szCs w:val="20"/>
              </w:rPr>
              <w:t>：</w:t>
            </w:r>
            <w:r>
              <w:rPr>
                <w:sz w:val="20"/>
                <w:u w:color="auto"/>
              </w:rPr>
              <w:t>巫溪县残疾人联合会</w:t>
            </w:r>
          </w:p>
        </w:tc>
        <w:tc>
          <w:tcPr>
            <w:tcW w:w="2408" w:type="dxa"/>
            <w:tcBorders>
              <w:top w:val="nil"/>
              <w:left w:val="nil"/>
              <w:right w:val="nil"/>
            </w:tcBorders>
            <w:shd w:val="clear" w:color="auto" w:fill="auto"/>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16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0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7"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0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1,535.99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1,535.99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1,330.35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1,330.35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49.80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49.80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17.05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17.05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20.47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20.47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24.77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24.77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2080801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死亡抚恤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24.77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24.77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20811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残疾人事业</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1,255.77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1,255.77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2081101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104.52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104.52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2081104</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残疾人康复</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382.58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382.58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2081105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残疾人就业</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195.80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195.80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2081106</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残疾人体育</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2081107</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残疾人生活和护理补贴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2081199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其他残疾人事业支出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525.12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525.12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11.58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11.58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11.58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11.58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14.97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14.97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14.97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14.97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14.97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14.97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179.10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179.10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22960</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彩票公益金安排的支出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179.10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179.10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2296003</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用于体育事业的彩票公益金支出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2296006</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用于残疾人事业的彩票公益金支出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4"/>
        <w:gridCol w:w="567"/>
        <w:gridCol w:w="600"/>
        <w:gridCol w:w="4316"/>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 xml:space="preserve">巫溪县残疾人联合会 </w:t>
            </w: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3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60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0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1,535.99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252.53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1,283.46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1,330.35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225.99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1,104.36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49.80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49.80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17.05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17.05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20.47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20.47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24.77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24.77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2080801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死亡抚恤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24.77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24.77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20811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残疾人事业</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1,255.77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151.41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1,104.36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2081101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104.52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104.52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2081104</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残疾人康复</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382.58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46.89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335.69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2081105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残疾人就业</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195.80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195.80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2081106</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残疾人体育</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2081107</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残疾人生活和护理补贴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2081199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其他残疾人事业支出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525.12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525.12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11.58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11.58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11.58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11.58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14.97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14.97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14.97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14.97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14.97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14.97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179.10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179.10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22960</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彩票公益金安排的支出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179.10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179.10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2296003</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用于体育事业的彩票公益金支出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2296006</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用于残疾人事业的彩票公益金支出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巫溪县残疾人联合会</w:t>
            </w: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1,356.89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179.10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1,330.35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1,330.35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11.58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11.58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14.97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14.97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179.10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179.10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1,535.99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1,535.99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1,356.89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179.10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1,535.99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1,535.99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1,356.89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179.10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巫溪县残疾人联合会</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1,356.89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252.53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1,104.36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1,356.89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252.53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1,104.36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1,330.35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225.99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1,104.36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1,330.35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225.99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1,104.36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49.80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49.80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49.80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49.80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17.05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17.05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17.05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17.05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20.47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20.47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20.47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20.47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12.28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12.28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12.28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12.28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抚恤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24.77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24.77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24.77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24.77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2080801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死亡抚恤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24.77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24.77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24.77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24.77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残疾人事业</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1,255.77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151.41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1,104.36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1,255.77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151.41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1,104.36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2081101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104.52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104.52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104.52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104.52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2081104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残疾人康复</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382.58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46.89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335.69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382.58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46.89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335.69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2081105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残疾人就业</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195.80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195.80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195.80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195.80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2081106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残疾人体育</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2081107</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残疾人生活和护理补贴</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8.75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8.75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8.75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8.75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2081199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其他残疾人事业支出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525.12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525.12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525.12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525.12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11.58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11.58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11.58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11.58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11.58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11.58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11.58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11.58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8.72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8.72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8.72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8.72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14.97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14.97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14.97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14.97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14.97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14.97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14.97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14.97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14.97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14.97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14.97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14.97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巫溪县残疾人联合会</w:t>
            </w: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178.32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32.39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43.09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13.53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25.10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28.78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21.37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0.57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20.47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2.38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12.28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1.80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11.58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0.68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1.22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14.97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0.11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41.83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0.84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24.77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16.58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0.03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0.47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0.39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1.67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1.04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2.37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6.08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0.36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220.15 </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32.39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巫溪县残疾人联合会</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179.10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179.10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179.10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179.10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其他支出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179.10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179.10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179.10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179.10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22960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彩票公益金安排的支出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179.10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179.10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179.10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179.10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2296003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用于体育事业的彩票公益金支出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2296006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用于残疾人事业的彩票公益金支出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177.00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177.00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177.00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177.00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巫溪县残疾人联合会</w:t>
            </w: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cs="宋体"/>
          <w:sz w:val="21"/>
          <w:szCs w:val="21"/>
          <w:lang w:eastAsia="zh-CN"/>
        </w:rPr>
        <w:t>本年无国有资本经营预算财政拨款收支，故本表无数据。</w:t>
      </w:r>
      <w:r>
        <w:rPr>
          <w:rFonts w:hint="eastAsia" w:ascii="宋体" w:hAnsi="宋体" w:eastAsia="宋体" w:cs="宋体"/>
          <w:sz w:val="21"/>
          <w:szCs w:val="21"/>
        </w:rPr>
        <w:br w:type="page"/>
      </w:r>
    </w:p>
    <w:tbl>
      <w:tblPr>
        <w:tblStyle w:val="6"/>
        <w:tblW w:w="200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7"/>
        <w:gridCol w:w="1017"/>
        <w:gridCol w:w="4017"/>
        <w:gridCol w:w="5416"/>
        <w:gridCol w:w="1050"/>
        <w:gridCol w:w="41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051"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917"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巫溪县残疾人联合会</w:t>
            </w:r>
          </w:p>
        </w:tc>
        <w:tc>
          <w:tcPr>
            <w:tcW w:w="413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917"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13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017"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41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13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23.52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3.40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23.52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2.56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2.56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0.84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0.84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50</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101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017"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1.15</w:t>
            </w:r>
          </w:p>
        </w:tc>
        <w:tc>
          <w:tcPr>
            <w:tcW w:w="5416"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017"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50.24</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四、差旅费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017"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5.49</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pStyle w:val="9"/>
        <w:autoSpaceDE w:val="0"/>
        <w:ind w:firstLine="0" w:firstLineChars="0"/>
        <w:rPr>
          <w:rFonts w:hint="default" w:ascii="宋体" w:hAnsi="宋体" w:eastAsia="宋体" w:cs="宋体"/>
          <w:sz w:val="21"/>
          <w:szCs w:val="21"/>
        </w:rPr>
      </w:pPr>
    </w:p>
    <w:sectPr>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">
              <v:fill on="f" focussize="0,0"/>
              <v:stroke on="f" weight="0.5pt"/>
              <v:imagedata o:title=""/>
              <o:lock v:ext="edit" aspectratio="f"/>
              <v:textbox inset="0mm,0mm,0mm,0mm" style="mso-fit-shape-to-text:t;">
                <w:txbxContent>
                  <w:p>
                    <w:pPr>
                      <w:pStyle w:val="2"/>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B6A3F8"/>
    <w:multiLevelType w:val="singleLevel"/>
    <w:tmpl w:val="CEB6A3F8"/>
    <w:lvl w:ilvl="0" w:tentative="0">
      <w:start w:val="3"/>
      <w:numFmt w:val="chineseCounting"/>
      <w:suff w:val="nothing"/>
      <w:lvlText w:val="%1、"/>
      <w:lvlJc w:val="left"/>
      <w:rPr>
        <w:rFonts w:hint="eastAsia"/>
      </w:rPr>
    </w:lvl>
  </w:abstractNum>
  <w:abstractNum w:abstractNumId="1">
    <w:nsid w:val="0EE41AB9"/>
    <w:multiLevelType w:val="singleLevel"/>
    <w:tmpl w:val="0EE41AB9"/>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0D7BCC"/>
    <w:rsid w:val="00550ABE"/>
    <w:rsid w:val="007B419D"/>
    <w:rsid w:val="009B67B8"/>
    <w:rsid w:val="00B03CCD"/>
    <w:rsid w:val="01474EBF"/>
    <w:rsid w:val="01F3521E"/>
    <w:rsid w:val="03E3214F"/>
    <w:rsid w:val="04446191"/>
    <w:rsid w:val="044C50BA"/>
    <w:rsid w:val="0536621F"/>
    <w:rsid w:val="05E71467"/>
    <w:rsid w:val="06032173"/>
    <w:rsid w:val="06247E33"/>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A54E4"/>
    <w:rsid w:val="0E3A5F83"/>
    <w:rsid w:val="0E9478E1"/>
    <w:rsid w:val="0F836721"/>
    <w:rsid w:val="103645A3"/>
    <w:rsid w:val="107B59E5"/>
    <w:rsid w:val="10AA219D"/>
    <w:rsid w:val="11003CB0"/>
    <w:rsid w:val="11124E18"/>
    <w:rsid w:val="111445C7"/>
    <w:rsid w:val="1158083A"/>
    <w:rsid w:val="11F03528"/>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AA2EDC"/>
    <w:rsid w:val="1CE157EE"/>
    <w:rsid w:val="1D014A01"/>
    <w:rsid w:val="1D022362"/>
    <w:rsid w:val="1D091B60"/>
    <w:rsid w:val="1D794AE5"/>
    <w:rsid w:val="1DD26311"/>
    <w:rsid w:val="1DE57DAF"/>
    <w:rsid w:val="1EF67CA4"/>
    <w:rsid w:val="1F213FD9"/>
    <w:rsid w:val="1FCD26AF"/>
    <w:rsid w:val="20642787"/>
    <w:rsid w:val="20C83310"/>
    <w:rsid w:val="20EC77A3"/>
    <w:rsid w:val="21556F04"/>
    <w:rsid w:val="22403BD3"/>
    <w:rsid w:val="24B92327"/>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8209DE"/>
    <w:rsid w:val="2C6762A3"/>
    <w:rsid w:val="2D5F4C37"/>
    <w:rsid w:val="2FE029D7"/>
    <w:rsid w:val="2FF06E00"/>
    <w:rsid w:val="315F0B22"/>
    <w:rsid w:val="31BE24D6"/>
    <w:rsid w:val="31D84415"/>
    <w:rsid w:val="32285F6F"/>
    <w:rsid w:val="32770556"/>
    <w:rsid w:val="329C0913"/>
    <w:rsid w:val="32A17BC8"/>
    <w:rsid w:val="3337290D"/>
    <w:rsid w:val="352930DB"/>
    <w:rsid w:val="35573069"/>
    <w:rsid w:val="358C217E"/>
    <w:rsid w:val="359E7284"/>
    <w:rsid w:val="359F188C"/>
    <w:rsid w:val="36C9128A"/>
    <w:rsid w:val="37841E99"/>
    <w:rsid w:val="379C594F"/>
    <w:rsid w:val="37BF1123"/>
    <w:rsid w:val="37C85E36"/>
    <w:rsid w:val="38BE4696"/>
    <w:rsid w:val="39B82A39"/>
    <w:rsid w:val="39F33306"/>
    <w:rsid w:val="3B1705E5"/>
    <w:rsid w:val="3B18334B"/>
    <w:rsid w:val="3B36794F"/>
    <w:rsid w:val="3B544954"/>
    <w:rsid w:val="3B793FF0"/>
    <w:rsid w:val="3B97076E"/>
    <w:rsid w:val="3BA62B27"/>
    <w:rsid w:val="3C5A5928"/>
    <w:rsid w:val="3C6A5B02"/>
    <w:rsid w:val="3D2757A1"/>
    <w:rsid w:val="3D3D4FC4"/>
    <w:rsid w:val="3DDF3AB1"/>
    <w:rsid w:val="3DE60B7E"/>
    <w:rsid w:val="3E1D0952"/>
    <w:rsid w:val="3E42660A"/>
    <w:rsid w:val="3E7555B1"/>
    <w:rsid w:val="3EA72472"/>
    <w:rsid w:val="3EDE1208"/>
    <w:rsid w:val="3F0527E5"/>
    <w:rsid w:val="3F16459E"/>
    <w:rsid w:val="3F4A6687"/>
    <w:rsid w:val="4004000C"/>
    <w:rsid w:val="411B6CE5"/>
    <w:rsid w:val="412070D7"/>
    <w:rsid w:val="41314E40"/>
    <w:rsid w:val="415C674B"/>
    <w:rsid w:val="426C1EA8"/>
    <w:rsid w:val="42E86A87"/>
    <w:rsid w:val="43136432"/>
    <w:rsid w:val="443A3B12"/>
    <w:rsid w:val="44487B36"/>
    <w:rsid w:val="44EF6BE8"/>
    <w:rsid w:val="45A30364"/>
    <w:rsid w:val="465B470D"/>
    <w:rsid w:val="469D6AD4"/>
    <w:rsid w:val="47674801"/>
    <w:rsid w:val="48225EF7"/>
    <w:rsid w:val="48A36D47"/>
    <w:rsid w:val="495C4A24"/>
    <w:rsid w:val="49A21DF3"/>
    <w:rsid w:val="49C811E4"/>
    <w:rsid w:val="4A010C76"/>
    <w:rsid w:val="4A216E30"/>
    <w:rsid w:val="4B7951CB"/>
    <w:rsid w:val="4B7C315C"/>
    <w:rsid w:val="4B9300D7"/>
    <w:rsid w:val="4BAB7F90"/>
    <w:rsid w:val="4BD53EDA"/>
    <w:rsid w:val="4BE11807"/>
    <w:rsid w:val="4C484CE5"/>
    <w:rsid w:val="4DAC4ACA"/>
    <w:rsid w:val="4DD06F63"/>
    <w:rsid w:val="4E043596"/>
    <w:rsid w:val="4EA8523F"/>
    <w:rsid w:val="4F186D58"/>
    <w:rsid w:val="4F224836"/>
    <w:rsid w:val="51760217"/>
    <w:rsid w:val="51E36677"/>
    <w:rsid w:val="522F6E0C"/>
    <w:rsid w:val="52463BA1"/>
    <w:rsid w:val="529F078E"/>
    <w:rsid w:val="53C0244D"/>
    <w:rsid w:val="53DD4D4E"/>
    <w:rsid w:val="53E578CE"/>
    <w:rsid w:val="53EA10F5"/>
    <w:rsid w:val="543B029D"/>
    <w:rsid w:val="54977029"/>
    <w:rsid w:val="554E5773"/>
    <w:rsid w:val="555A3CBC"/>
    <w:rsid w:val="55EF4EA6"/>
    <w:rsid w:val="56530F5D"/>
    <w:rsid w:val="56EE372E"/>
    <w:rsid w:val="5842572D"/>
    <w:rsid w:val="58B62986"/>
    <w:rsid w:val="598A28E2"/>
    <w:rsid w:val="5C1336B7"/>
    <w:rsid w:val="5C263CE4"/>
    <w:rsid w:val="5C5D2777"/>
    <w:rsid w:val="5C722D7F"/>
    <w:rsid w:val="5D290C69"/>
    <w:rsid w:val="5EFA176D"/>
    <w:rsid w:val="5F0247F9"/>
    <w:rsid w:val="5F2D4A41"/>
    <w:rsid w:val="601C34ED"/>
    <w:rsid w:val="60A511FB"/>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560CAE"/>
    <w:rsid w:val="6CD15296"/>
    <w:rsid w:val="6D903FF5"/>
    <w:rsid w:val="6DA955B8"/>
    <w:rsid w:val="6DE346AB"/>
    <w:rsid w:val="6FFB2E76"/>
    <w:rsid w:val="70AB70D6"/>
    <w:rsid w:val="70DE5507"/>
    <w:rsid w:val="718C12E2"/>
    <w:rsid w:val="71C34D91"/>
    <w:rsid w:val="71ED38AA"/>
    <w:rsid w:val="7278525B"/>
    <w:rsid w:val="72DB435C"/>
    <w:rsid w:val="74ED1B1B"/>
    <w:rsid w:val="750837F0"/>
    <w:rsid w:val="762A73EF"/>
    <w:rsid w:val="7631412E"/>
    <w:rsid w:val="764F62AB"/>
    <w:rsid w:val="765C45EC"/>
    <w:rsid w:val="768A7619"/>
    <w:rsid w:val="7714640F"/>
    <w:rsid w:val="77EA362A"/>
    <w:rsid w:val="7875383E"/>
    <w:rsid w:val="796D60A4"/>
    <w:rsid w:val="79A031D5"/>
    <w:rsid w:val="79A52681"/>
    <w:rsid w:val="7A1525F7"/>
    <w:rsid w:val="7A3E6CB6"/>
    <w:rsid w:val="7A99799F"/>
    <w:rsid w:val="7B420052"/>
    <w:rsid w:val="7B5E0429"/>
    <w:rsid w:val="7B7D43A1"/>
    <w:rsid w:val="7BD06A28"/>
    <w:rsid w:val="7C1E4CD7"/>
    <w:rsid w:val="7C3A7C0B"/>
    <w:rsid w:val="7C5248E4"/>
    <w:rsid w:val="7C566698"/>
    <w:rsid w:val="7CE56AF6"/>
    <w:rsid w:val="7CF02E5B"/>
    <w:rsid w:val="7D213FB2"/>
    <w:rsid w:val="7FF723E4"/>
    <w:rsid w:val="E69E9D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7711</Words>
  <Characters>21008</Characters>
  <Lines>161</Lines>
  <Paragraphs>45</Paragraphs>
  <TotalTime>1</TotalTime>
  <ScaleCrop>false</ScaleCrop>
  <LinksUpToDate>false</LinksUpToDate>
  <CharactersWithSpaces>21460</CharactersWithSpaces>
  <Application>WPS Office_11.8.2.1120_F1E327BC-269C-435d-A152-05C5408002CA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HUAWEI</cp:lastModifiedBy>
  <dcterms:modified xsi:type="dcterms:W3CDTF">2025-09-17T16:17:05Z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2052-11.8.2.1120</vt:lpwstr>
  </property>
  <property fmtid="{D5CDD505-2E9C-101B-9397-08002B2CF9AE}" pid="3" name="ICV">
    <vt:lpwstr>BB46EABDBB2749749395447164B066B3_12</vt:lpwstr>
  </property>
</Properties>
</file>