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Lines="0" w:beforeAutospacing="0" w:after="0" w:afterLines="0" w:afterAutospacing="0" w:line="596" w:lineRule="exact"/>
        <w:ind w:left="0" w:leftChars="0" w:right="0" w:rightChars="0" w:firstLine="0" w:firstLineChars="0"/>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巫溪县工商业联合会（本级）</w:t>
      </w:r>
    </w:p>
    <w:p>
      <w:pPr>
        <w:pStyle w:val="5"/>
        <w:keepNext w:val="0"/>
        <w:keepLines w:val="0"/>
        <w:pageBreakBefore w:val="0"/>
        <w:widowControl/>
        <w:kinsoku/>
        <w:wordWrap/>
        <w:overflowPunct/>
        <w:topLinePunct w:val="0"/>
        <w:autoSpaceDN/>
        <w:bidi w:val="0"/>
        <w:adjustRightInd/>
        <w:spacing w:before="0" w:beforeLines="0" w:beforeAutospacing="0" w:after="0" w:afterLines="0" w:afterAutospacing="0" w:line="596" w:lineRule="exact"/>
        <w:ind w:left="0" w:leftChars="0" w:right="0" w:rightChars="0" w:firstLine="0" w:firstLineChars="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0" w:beforeLines="0" w:beforeAutospacing="0" w:after="0" w:afterLines="0" w:afterAutospacing="0" w:line="594" w:lineRule="exact"/>
        <w:ind w:left="0" w:leftChars="0" w:right="0" w:rightChars="0" w:firstLine="643" w:firstLineChars="200"/>
        <w:textAlignment w:val="auto"/>
        <w:outlineLvl w:val="9"/>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N/>
        <w:bidi w:val="0"/>
        <w:adjustRightInd/>
        <w:spacing w:before="0" w:beforeLines="0" w:beforeAutospacing="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巫溪县工商业联合会是中共巫溪县委领导的、以巫溪县</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企业和</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经济人士为主体的人民团体和商会组织，是党和政府联系</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经济人士的桥梁和纽带，是政府管理和服务</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经济的助手。工商联工作是党的统一战线和经济工作的重要内容，承担着引导民营经济发展的职能。主要任务是加强思想政治工作，引导</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经济人士学习贯彻党的路线方针政策，遵守国家法律法规，培养拥护党的领导、走中国特色社会主义道路的</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经济人士队伍；参加政治协商，发挥民主监督作用，积极参政议政；推动经贸交流和协作，促进经济社会发展；加强行业协会商会建设，服务</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企业发展；参与协调劳动关系，促进社会和谐稳定；反映</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企业和</w:t>
      </w:r>
      <w:r>
        <w:rPr>
          <w:rFonts w:hint="default" w:ascii="Times New Roman" w:hAnsi="Times New Roman" w:eastAsia="方正仿宋_GBK" w:cs="Times New Roman"/>
          <w:sz w:val="32"/>
          <w:szCs w:val="32"/>
          <w:lang w:eastAsia="zh-CN"/>
        </w:rPr>
        <w:t>民营</w:t>
      </w:r>
      <w:r>
        <w:rPr>
          <w:rFonts w:hint="default" w:ascii="Times New Roman" w:hAnsi="Times New Roman" w:eastAsia="方正仿宋_GBK" w:cs="Times New Roman"/>
          <w:sz w:val="32"/>
          <w:szCs w:val="32"/>
        </w:rPr>
        <w:t>经济人士利益诉求，维护其合法权益。</w:t>
      </w:r>
    </w:p>
    <w:p>
      <w:pPr>
        <w:pStyle w:val="5"/>
        <w:keepNext w:val="0"/>
        <w:keepLines w:val="0"/>
        <w:pageBreakBefore w:val="0"/>
        <w:widowControl/>
        <w:shd w:val="clear" w:color="auto" w:fill="FFFFFF"/>
        <w:kinsoku/>
        <w:wordWrap/>
        <w:overflowPunct/>
        <w:topLinePunct w:val="0"/>
        <w:autoSpaceDN/>
        <w:bidi w:val="0"/>
        <w:adjustRightIn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lang w:eastAsia="zh-CN"/>
        </w:rPr>
        <w:t>（二）</w:t>
      </w:r>
      <w:r>
        <w:rPr>
          <w:rStyle w:val="8"/>
          <w:rFonts w:hint="default" w:ascii="Times New Roman" w:hAnsi="Times New Roman" w:eastAsia="楷体" w:cs="Times New Roman"/>
          <w:sz w:val="32"/>
          <w:szCs w:val="32"/>
          <w:shd w:val="clear" w:color="auto" w:fill="FFFFFF"/>
        </w:rPr>
        <w:t>机构设置</w:t>
      </w:r>
      <w:r>
        <w:rPr>
          <w:rStyle w:val="8"/>
          <w:rFonts w:hint="default" w:ascii="Times New Roman" w:hAnsi="Times New Roman" w:eastAsia="楷体" w:cs="Times New Roman"/>
          <w:sz w:val="32"/>
          <w:szCs w:val="32"/>
          <w:shd w:val="clear" w:color="auto" w:fill="FFFFFF"/>
          <w:lang w:eastAsia="zh-CN"/>
        </w:rPr>
        <w:t>。</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0" w:beforeLines="0" w:beforeAutospacing="0" w:after="0" w:afterLines="0" w:afterAutospacing="0" w:line="594" w:lineRule="exact"/>
        <w:ind w:left="0" w:leftChars="0" w:right="0" w:rightChars="0" w:firstLine="640" w:firstLineChars="200"/>
        <w:textAlignment w:val="auto"/>
        <w:outlineLvl w:val="9"/>
        <w:rPr>
          <w:rStyle w:val="8"/>
          <w:rFonts w:hint="default" w:ascii="Times New Roman" w:hAnsi="Times New Roman" w:eastAsia="黑体" w:cs="Times New Roman"/>
          <w:sz w:val="32"/>
          <w:szCs w:val="32"/>
          <w:shd w:val="clear" w:color="auto" w:fill="FFFFFF"/>
        </w:rPr>
      </w:pPr>
      <w:r>
        <w:rPr>
          <w:rFonts w:hint="default" w:ascii="Times New Roman" w:hAnsi="Times New Roman" w:eastAsia="方正仿宋_GBK" w:cs="Times New Roman"/>
          <w:sz w:val="32"/>
          <w:szCs w:val="32"/>
        </w:rPr>
        <w:t>我单位为行政单位，内设机构有：综合科、会员部、经济部。</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0" w:beforeLines="0" w:beforeAutospacing="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643" w:firstLineChars="20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度收入总计200.76万元，支出总计</w:t>
      </w:r>
      <w:r>
        <w:rPr>
          <w:rFonts w:hint="default" w:ascii="Times New Roman" w:hAnsi="Times New Roman" w:eastAsia="方正仿宋_GBK" w:cs="Times New Roman"/>
          <w:sz w:val="32"/>
          <w:szCs w:val="32"/>
        </w:rPr>
        <w:t>200.76</w:t>
      </w:r>
      <w:r>
        <w:rPr>
          <w:rFonts w:hint="default" w:ascii="Times New Roman" w:hAnsi="Times New Roman" w:eastAsia="方正仿宋_GBK" w:cs="Times New Roman"/>
          <w:sz w:val="32"/>
          <w:szCs w:val="32"/>
          <w:shd w:val="clear" w:color="auto" w:fill="FFFFFF"/>
        </w:rPr>
        <w:t>万元。收、支与2023年度相比，减少106.17万元，下降34.6%，主要原因是</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rPr>
        <w:t>一般公共预算财政拨款收</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rPr>
        <w:t>较上年</w:t>
      </w:r>
      <w:r>
        <w:rPr>
          <w:rFonts w:hint="default" w:ascii="Times New Roman" w:hAnsi="Times New Roman" w:eastAsia="方正仿宋_GBK" w:cs="Times New Roman"/>
          <w:sz w:val="32"/>
          <w:szCs w:val="32"/>
          <w:lang w:val="en-US" w:eastAsia="zh-CN"/>
        </w:rPr>
        <w:t>减少106.17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无年初结转结余</w:t>
      </w:r>
      <w:r>
        <w:rPr>
          <w:rFonts w:hint="default" w:ascii="Times New Roman" w:hAnsi="Times New Roman" w:eastAsia="方正仿宋_GBK" w:cs="Times New Roman"/>
          <w:sz w:val="32"/>
          <w:szCs w:val="32"/>
          <w:lang w:val="en-US" w:eastAsia="zh-CN"/>
        </w:rPr>
        <w:t>。</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度收入合计200.76万元，与2023年度相比，减少106.17万元，下降34.6%，主要原因是</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rPr>
        <w:t>一般公共预算财政拨款收</w:t>
      </w:r>
      <w:r>
        <w:rPr>
          <w:rFonts w:hint="default" w:ascii="Times New Roman" w:hAnsi="Times New Roman" w:eastAsia="方正仿宋_GBK" w:cs="Times New Roman"/>
          <w:sz w:val="32"/>
          <w:szCs w:val="32"/>
          <w:lang w:val="en-US" w:eastAsia="zh-CN"/>
        </w:rPr>
        <w:t>入</w:t>
      </w:r>
      <w:r>
        <w:rPr>
          <w:rFonts w:hint="default" w:ascii="Times New Roman" w:hAnsi="Times New Roman" w:eastAsia="方正仿宋_GBK" w:cs="Times New Roman"/>
          <w:sz w:val="32"/>
          <w:szCs w:val="32"/>
        </w:rPr>
        <w:t>较上年</w:t>
      </w:r>
      <w:r>
        <w:rPr>
          <w:rFonts w:hint="default" w:ascii="Times New Roman" w:hAnsi="Times New Roman" w:eastAsia="方正仿宋_GBK" w:cs="Times New Roman"/>
          <w:sz w:val="32"/>
          <w:szCs w:val="32"/>
          <w:lang w:val="en-US" w:eastAsia="zh-CN"/>
        </w:rPr>
        <w:t>减少106.17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200.76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200.76</w:t>
      </w:r>
      <w:r>
        <w:rPr>
          <w:rFonts w:hint="default" w:ascii="Times New Roman" w:hAnsi="Times New Roman" w:eastAsia="方正仿宋_GBK" w:cs="Times New Roman"/>
          <w:sz w:val="32"/>
          <w:szCs w:val="32"/>
          <w:shd w:val="clear" w:color="auto" w:fill="FFFFFF"/>
        </w:rPr>
        <w:t>万元，与2023年度相比，减少106.17万元，下降34.6%，主要原因是</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rPr>
        <w:t>一般公共预算财政拨款</w:t>
      </w:r>
      <w:r>
        <w:rPr>
          <w:rFonts w:hint="default" w:ascii="Times New Roman" w:hAnsi="Times New Roman" w:eastAsia="方正仿宋_GBK" w:cs="Times New Roman"/>
          <w:sz w:val="32"/>
          <w:szCs w:val="32"/>
          <w:lang w:eastAsia="zh-CN"/>
        </w:rPr>
        <w:t>支</w:t>
      </w:r>
      <w:r>
        <w:rPr>
          <w:rFonts w:hint="default" w:ascii="Times New Roman" w:hAnsi="Times New Roman" w:eastAsia="方正仿宋_GBK" w:cs="Times New Roman"/>
          <w:sz w:val="32"/>
          <w:szCs w:val="32"/>
          <w:lang w:val="en-US" w:eastAsia="zh-CN"/>
        </w:rPr>
        <w:t>出</w:t>
      </w:r>
      <w:r>
        <w:rPr>
          <w:rFonts w:hint="default" w:ascii="Times New Roman" w:hAnsi="Times New Roman" w:eastAsia="方正仿宋_GBK" w:cs="Times New Roman"/>
          <w:sz w:val="32"/>
          <w:szCs w:val="32"/>
        </w:rPr>
        <w:t>较上年</w:t>
      </w:r>
      <w:r>
        <w:rPr>
          <w:rFonts w:hint="default" w:ascii="Times New Roman" w:hAnsi="Times New Roman" w:eastAsia="方正仿宋_GBK" w:cs="Times New Roman"/>
          <w:sz w:val="32"/>
          <w:szCs w:val="32"/>
          <w:lang w:val="en-US" w:eastAsia="zh-CN"/>
        </w:rPr>
        <w:t>减少106.17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140.66</w:t>
      </w:r>
      <w:r>
        <w:rPr>
          <w:rFonts w:hint="default" w:ascii="Times New Roman" w:hAnsi="Times New Roman" w:eastAsia="方正仿宋_GBK" w:cs="Times New Roman"/>
          <w:sz w:val="32"/>
          <w:szCs w:val="32"/>
          <w:shd w:val="clear" w:color="auto" w:fill="FFFFFF"/>
        </w:rPr>
        <w:t>万元，占70.06%；项目支出</w:t>
      </w:r>
      <w:r>
        <w:rPr>
          <w:rFonts w:hint="default" w:ascii="Times New Roman" w:hAnsi="Times New Roman" w:eastAsia="方正仿宋_GBK" w:cs="Times New Roman"/>
          <w:sz w:val="32"/>
          <w:szCs w:val="32"/>
        </w:rPr>
        <w:t>60.10</w:t>
      </w:r>
      <w:r>
        <w:rPr>
          <w:rFonts w:hint="default" w:ascii="Times New Roman" w:hAnsi="Times New Roman" w:eastAsia="方正仿宋_GBK" w:cs="Times New Roman"/>
          <w:sz w:val="32"/>
          <w:szCs w:val="32"/>
          <w:shd w:val="clear" w:color="auto" w:fill="FFFFFF"/>
        </w:rPr>
        <w:t>万元，占29.94%；经营支出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度财政拨款收、支总计200.76万元。与202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年相比，财政拨款收、支总计各减少106.17万元，下降34.6%。主要原因是</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shd w:val="clear" w:color="auto" w:fill="FFFFFF"/>
        </w:rPr>
        <w:t>一般公共预算财政拨款收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较上年</w:t>
      </w:r>
      <w:r>
        <w:rPr>
          <w:rFonts w:hint="default" w:ascii="Times New Roman" w:hAnsi="Times New Roman" w:eastAsia="方正仿宋_GBK" w:cs="Times New Roman"/>
          <w:sz w:val="32"/>
          <w:szCs w:val="32"/>
          <w:shd w:val="clear" w:color="auto" w:fill="FFFFFF"/>
          <w:lang w:val="en-US" w:eastAsia="zh-CN"/>
        </w:rPr>
        <w:t>减少106.17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无年初结转结余</w:t>
      </w:r>
      <w:r>
        <w:rPr>
          <w:rFonts w:hint="default" w:ascii="Times New Roman" w:hAnsi="Times New Roman" w:eastAsia="方正仿宋_GBK" w:cs="Times New Roman"/>
          <w:sz w:val="32"/>
          <w:szCs w:val="32"/>
          <w:shd w:val="clear" w:color="auto" w:fill="FFFFFF"/>
          <w:lang w:val="en-US" w:eastAsia="zh-CN"/>
        </w:rPr>
        <w:t>。</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200.76</w:t>
      </w:r>
      <w:r>
        <w:rPr>
          <w:rFonts w:hint="default" w:ascii="Times New Roman" w:hAnsi="Times New Roman" w:eastAsia="方正仿宋_GBK" w:cs="Times New Roman"/>
          <w:sz w:val="32"/>
          <w:szCs w:val="32"/>
          <w:shd w:val="clear" w:color="auto" w:fill="FFFFFF"/>
        </w:rPr>
        <w:t>万元，与2023年度相比，减少106.17万元，下降34.6%。主要原因是</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rPr>
        <w:t>一般公共预算财政拨款收</w:t>
      </w:r>
      <w:r>
        <w:rPr>
          <w:rFonts w:hint="default"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rPr>
        <w:t>较上年</w:t>
      </w:r>
      <w:r>
        <w:rPr>
          <w:rFonts w:hint="default" w:ascii="Times New Roman" w:hAnsi="Times New Roman" w:eastAsia="方正仿宋_GBK" w:cs="Times New Roman"/>
          <w:sz w:val="32"/>
          <w:szCs w:val="32"/>
          <w:lang w:val="en-US" w:eastAsia="zh-CN"/>
        </w:rPr>
        <w:t>减少106.17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较年初预算数增加56.67万元，增长39.3%。主要原因</w:t>
      </w:r>
      <w:r>
        <w:rPr>
          <w:rFonts w:hint="default" w:ascii="Times New Roman" w:hAnsi="Times New Roman" w:eastAsia="方正仿宋_GBK" w:cs="Times New Roman"/>
          <w:sz w:val="32"/>
          <w:szCs w:val="32"/>
          <w:lang w:val="en-US" w:eastAsia="zh-CN"/>
        </w:rPr>
        <w:t>一是新调入1人，招考录用1 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增加了基本支出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lang w:val="en-US" w:eastAsia="zh-CN"/>
        </w:rPr>
        <w:t>增加了民营经济人士培训费用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200.76</w:t>
      </w:r>
      <w:r>
        <w:rPr>
          <w:rFonts w:hint="default" w:ascii="Times New Roman" w:hAnsi="Times New Roman" w:eastAsia="方正仿宋_GBK" w:cs="Times New Roman"/>
          <w:sz w:val="32"/>
          <w:szCs w:val="32"/>
          <w:shd w:val="clear" w:color="auto" w:fill="FFFFFF"/>
        </w:rPr>
        <w:t>万元，与2023年度相比，减少106.17万元，下降34.6%。主要原因</w:t>
      </w:r>
      <w:r>
        <w:rPr>
          <w:rFonts w:hint="default" w:ascii="Times New Roman" w:hAnsi="Times New Roman" w:eastAsia="方正仿宋_GBK" w:cs="Times New Roman"/>
          <w:sz w:val="32"/>
          <w:szCs w:val="32"/>
          <w:shd w:val="clear" w:color="auto" w:fill="FFFFFF"/>
          <w:lang w:val="en-US" w:eastAsia="zh-CN"/>
        </w:rPr>
        <w:t>2024年巫溪县民营经济服务中心实行独立核算，</w:t>
      </w:r>
      <w:r>
        <w:rPr>
          <w:rFonts w:hint="default" w:ascii="Times New Roman" w:hAnsi="Times New Roman" w:eastAsia="方正仿宋_GBK" w:cs="Times New Roman"/>
          <w:sz w:val="32"/>
          <w:szCs w:val="32"/>
        </w:rPr>
        <w:t>一般公共预算财政拨款</w:t>
      </w:r>
      <w:r>
        <w:rPr>
          <w:rFonts w:hint="default" w:ascii="Times New Roman" w:hAnsi="Times New Roman" w:eastAsia="方正仿宋_GBK" w:cs="Times New Roman"/>
          <w:sz w:val="32"/>
          <w:szCs w:val="32"/>
          <w:lang w:val="en-US" w:eastAsia="zh-CN"/>
        </w:rPr>
        <w:t>支出</w:t>
      </w:r>
      <w:r>
        <w:rPr>
          <w:rFonts w:hint="default" w:ascii="Times New Roman" w:hAnsi="Times New Roman" w:eastAsia="方正仿宋_GBK" w:cs="Times New Roman"/>
          <w:sz w:val="32"/>
          <w:szCs w:val="32"/>
        </w:rPr>
        <w:t>较上年</w:t>
      </w:r>
      <w:r>
        <w:rPr>
          <w:rFonts w:hint="default" w:ascii="Times New Roman" w:hAnsi="Times New Roman" w:eastAsia="方正仿宋_GBK" w:cs="Times New Roman"/>
          <w:sz w:val="32"/>
          <w:szCs w:val="32"/>
          <w:lang w:val="en-US" w:eastAsia="zh-CN"/>
        </w:rPr>
        <w:t>减少106.17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较年初预算数增加56.67万元，增长39.3%。主要原因</w:t>
      </w:r>
      <w:r>
        <w:rPr>
          <w:rFonts w:hint="default" w:ascii="Times New Roman" w:hAnsi="Times New Roman" w:eastAsia="方正仿宋_GBK" w:cs="Times New Roman"/>
          <w:sz w:val="32"/>
          <w:szCs w:val="32"/>
          <w:lang w:val="en-US" w:eastAsia="zh-CN"/>
        </w:rPr>
        <w:t>一是新调入1人，招考录用1 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增加了基本支出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lang w:val="en-US" w:eastAsia="zh-CN"/>
        </w:rPr>
        <w:t>增加了民营经济人士培训费用</w:t>
      </w:r>
      <w:r>
        <w:rPr>
          <w:rFonts w:hint="default" w:ascii="Times New Roman" w:hAnsi="Times New Roman" w:eastAsia="方正仿宋_GBK" w:cs="Times New Roman"/>
          <w:sz w:val="32"/>
          <w:szCs w:val="32"/>
          <w:lang w:eastAsia="zh-CN"/>
        </w:rPr>
        <w:t>。</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154.54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76.98</w:t>
      </w:r>
      <w:r>
        <w:rPr>
          <w:rFonts w:hint="default" w:ascii="Times New Roman" w:hAnsi="Times New Roman" w:eastAsia="方正仿宋_GBK" w:cs="Times New Roman"/>
          <w:sz w:val="32"/>
          <w:szCs w:val="32"/>
          <w:shd w:val="clear" w:color="auto" w:fill="FFFFFF"/>
        </w:rPr>
        <w:t>%，较年初预算数增加55.53万元，增长56.1%，主要原因</w:t>
      </w:r>
      <w:r>
        <w:rPr>
          <w:rFonts w:hint="default" w:ascii="Times New Roman" w:hAnsi="Times New Roman" w:eastAsia="方正仿宋_GBK" w:cs="Times New Roman"/>
          <w:sz w:val="32"/>
          <w:szCs w:val="32"/>
          <w:lang w:val="en-US" w:eastAsia="zh-CN"/>
        </w:rPr>
        <w:t>一是新调入1人，招考录用1 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增加了基本支出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项目支出</w:t>
      </w:r>
      <w:r>
        <w:rPr>
          <w:rFonts w:hint="default" w:ascii="Times New Roman" w:hAnsi="Times New Roman" w:eastAsia="方正仿宋_GBK" w:cs="Times New Roman"/>
          <w:sz w:val="32"/>
          <w:szCs w:val="32"/>
          <w:lang w:val="en-US" w:eastAsia="zh-CN"/>
        </w:rPr>
        <w:t>增加了民营经济人士培训费用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34.93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17.40</w:t>
      </w:r>
      <w:r>
        <w:rPr>
          <w:rFonts w:hint="default" w:ascii="Times New Roman" w:hAnsi="Times New Roman" w:eastAsia="方正仿宋_GBK" w:cs="Times New Roman"/>
          <w:sz w:val="32"/>
          <w:szCs w:val="32"/>
          <w:shd w:val="clear" w:color="auto" w:fill="FFFFFF"/>
        </w:rPr>
        <w:t>%，较年初预算数增加1.14万元，增长3.4%，主要原因是</w:t>
      </w:r>
      <w:r>
        <w:rPr>
          <w:rFonts w:hint="default" w:ascii="Times New Roman" w:hAnsi="Times New Roman" w:eastAsia="方正仿宋_GBK" w:cs="Times New Roman"/>
          <w:color w:val="auto"/>
          <w:sz w:val="32"/>
          <w:szCs w:val="32"/>
          <w:shd w:val="clear" w:color="auto" w:fill="FFFFFF"/>
          <w:lang w:val="en-US" w:eastAsia="zh-CN"/>
        </w:rPr>
        <w:t>社会保险费支出增加。</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4.89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2.43</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0" w:beforeLines="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3.19</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140.66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125.68</w:t>
      </w:r>
      <w:r>
        <w:rPr>
          <w:rFonts w:hint="default" w:ascii="Times New Roman" w:hAnsi="Times New Roman" w:eastAsia="方正仿宋_GBK" w:cs="Times New Roman"/>
          <w:sz w:val="32"/>
          <w:szCs w:val="32"/>
          <w:shd w:val="clear" w:color="auto" w:fill="FFFFFF"/>
        </w:rPr>
        <w:t>万元，与2023年度相比，减少106.34万元，下降45.8%，主要原因是</w:t>
      </w:r>
      <w:r>
        <w:rPr>
          <w:rFonts w:hint="default" w:ascii="Times New Roman" w:hAnsi="Times New Roman" w:eastAsia="方正仿宋_GBK" w:cs="Times New Roman"/>
          <w:sz w:val="32"/>
          <w:szCs w:val="32"/>
          <w:shd w:val="clear" w:color="auto" w:fill="FFFFFF"/>
          <w:lang w:val="en-US" w:eastAsia="zh-CN"/>
        </w:rPr>
        <w:t>巫溪县民营经济服务中心按要求实行独立核算和2023年支付了一次性抚恤金</w:t>
      </w:r>
      <w:r>
        <w:rPr>
          <w:rFonts w:hint="eastAsia" w:ascii="Times New Roman" w:hAnsi="Times New Roman" w:eastAsia="方正仿宋_GBK" w:cs="Times New Roman"/>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eastAsia="zh-CN"/>
        </w:rPr>
        <w:t>是保障单位职工正常履职和生活需求</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14.98</w:t>
      </w:r>
      <w:r>
        <w:rPr>
          <w:rFonts w:hint="default" w:ascii="Times New Roman" w:hAnsi="Times New Roman" w:eastAsia="方正仿宋_GBK" w:cs="Times New Roman"/>
          <w:sz w:val="32"/>
          <w:szCs w:val="32"/>
          <w:shd w:val="clear" w:color="auto" w:fill="FFFFFF"/>
        </w:rPr>
        <w:t>万元，与2023年度相比，减少14.38万元，下降49.0%，主要原因是</w:t>
      </w:r>
      <w:r>
        <w:rPr>
          <w:rFonts w:hint="default" w:ascii="Times New Roman" w:hAnsi="Times New Roman" w:eastAsia="方正仿宋_GBK" w:cs="Times New Roman"/>
          <w:sz w:val="32"/>
          <w:szCs w:val="32"/>
          <w:shd w:val="clear" w:color="auto" w:fill="FFFFFF"/>
          <w:lang w:val="en-US" w:eastAsia="zh-CN"/>
        </w:rPr>
        <w:t>牢固树立过紧日子的思想</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压缩了日常公用经费支出，</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办公费、印刷费、水费、电费、邮电费、差旅费、会议费、培训费等</w:t>
      </w:r>
      <w:r>
        <w:rPr>
          <w:rFonts w:hint="default" w:ascii="Times New Roman" w:hAnsi="Times New Roman" w:eastAsia="方正仿宋_GBK" w:cs="Times New Roman"/>
          <w:sz w:val="32"/>
          <w:szCs w:val="32"/>
          <w:lang w:eastAsia="zh-CN"/>
        </w:rPr>
        <w:t>。</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auto"/>
        </w:rPr>
        <w:t>本单位2024年度无政府性基金预算财政拨款收支。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11"/>
        <w:keepNext w:val="0"/>
        <w:keepLines w:val="0"/>
        <w:pageBreakBefore w:val="0"/>
        <w:widowControl/>
        <w:numPr>
          <w:ilvl w:val="0"/>
          <w:numId w:val="0"/>
        </w:numPr>
        <w:kinsoku/>
        <w:wordWrap/>
        <w:overflowPunct/>
        <w:topLinePunct w:val="0"/>
        <w:autoSpaceDE w:val="0"/>
        <w:autoSpaceDN/>
        <w:bidi w:val="0"/>
        <w:adjustRightInd/>
        <w:spacing w:before="0" w:beforeLines="0" w:after="0" w:afterLines="0" w:line="594" w:lineRule="exact"/>
        <w:ind w:left="0" w:leftChars="0" w:right="0" w:rightChars="0" w:firstLine="640"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b w:val="0"/>
          <w:bCs w:val="0"/>
          <w:sz w:val="32"/>
          <w:szCs w:val="32"/>
          <w:shd w:val="clear" w:color="auto" w:fill="auto"/>
        </w:rPr>
        <w:t>本</w:t>
      </w:r>
      <w:r>
        <w:rPr>
          <w:rFonts w:hint="default" w:ascii="Times New Roman" w:hAnsi="Times New Roman" w:eastAsia="方正仿宋_GBK" w:cs="Times New Roman"/>
          <w:b w:val="0"/>
          <w:bCs w:val="0"/>
          <w:sz w:val="32"/>
          <w:szCs w:val="32"/>
          <w:shd w:val="clear" w:color="auto" w:fill="auto"/>
          <w:lang w:eastAsia="zh-CN"/>
        </w:rPr>
        <w:t>单位</w:t>
      </w:r>
      <w:r>
        <w:rPr>
          <w:rFonts w:hint="default" w:ascii="Times New Roman" w:hAnsi="Times New Roman" w:eastAsia="方正仿宋_GBK" w:cs="Times New Roman"/>
          <w:b w:val="0"/>
          <w:bCs w:val="0"/>
          <w:sz w:val="32"/>
          <w:szCs w:val="32"/>
          <w:shd w:val="clear" w:color="auto" w:fill="auto"/>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5.00</w:t>
      </w:r>
      <w:r>
        <w:rPr>
          <w:rFonts w:hint="default" w:ascii="Times New Roman" w:hAnsi="Times New Roman" w:eastAsia="方正仿宋_GBK" w:cs="Times New Roman"/>
          <w:sz w:val="32"/>
          <w:szCs w:val="32"/>
          <w:shd w:val="clear" w:color="auto" w:fill="FFFFFF"/>
        </w:rPr>
        <w:t>万元，较年初预算数无增减，较上年支出数增加2.01万元，增长67.2%，主要原因是</w:t>
      </w:r>
      <w:r>
        <w:rPr>
          <w:rFonts w:hint="default" w:ascii="Times New Roman" w:hAnsi="Times New Roman" w:eastAsia="方正仿宋_GBK" w:cs="Times New Roman"/>
          <w:sz w:val="32"/>
          <w:szCs w:val="32"/>
          <w:shd w:val="clear" w:color="auto" w:fill="FFFFFF"/>
          <w:lang w:val="en-US" w:eastAsia="zh-CN"/>
        </w:rPr>
        <w:t>市</w:t>
      </w:r>
      <w:r>
        <w:rPr>
          <w:rFonts w:hint="default" w:ascii="Times New Roman" w:hAnsi="Times New Roman" w:eastAsia="方正仿宋_GBK" w:cs="Times New Roman"/>
          <w:sz w:val="32"/>
          <w:szCs w:val="32"/>
        </w:rPr>
        <w:t>县相关部门到我单位交流</w:t>
      </w:r>
      <w:r>
        <w:rPr>
          <w:rFonts w:hint="default"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shd w:val="clear" w:color="auto" w:fill="FFFFFF"/>
          <w:lang w:val="en-US" w:eastAsia="zh-CN"/>
        </w:rPr>
        <w:t>商会</w:t>
      </w:r>
      <w:r>
        <w:rPr>
          <w:rFonts w:hint="default" w:ascii="Times New Roman" w:hAnsi="Times New Roman" w:eastAsia="方正仿宋_GBK" w:cs="Times New Roman"/>
          <w:color w:val="auto"/>
          <w:sz w:val="32"/>
          <w:szCs w:val="32"/>
          <w:shd w:val="clear" w:color="auto" w:fill="FFFFFF"/>
          <w:lang w:eastAsia="zh-CN"/>
        </w:rPr>
        <w:t>活动</w:t>
      </w:r>
      <w:r>
        <w:rPr>
          <w:rFonts w:hint="default" w:ascii="Times New Roman" w:hAnsi="Times New Roman" w:eastAsia="方正仿宋_GBK" w:cs="Times New Roman"/>
          <w:color w:val="auto"/>
          <w:sz w:val="32"/>
          <w:szCs w:val="32"/>
          <w:shd w:val="clear" w:color="auto" w:fill="FFFFFF"/>
          <w:lang w:val="en-US" w:eastAsia="zh-CN"/>
        </w:rPr>
        <w:t>、民营企业发展调研</w:t>
      </w:r>
      <w:r>
        <w:rPr>
          <w:rFonts w:hint="default" w:ascii="Times New Roman" w:hAnsi="Times New Roman" w:eastAsia="方正仿宋_GBK" w:cs="Times New Roman"/>
          <w:color w:val="auto"/>
          <w:sz w:val="32"/>
          <w:szCs w:val="32"/>
          <w:shd w:val="clear" w:color="auto" w:fill="FFFFFF"/>
          <w:lang w:eastAsia="zh-CN"/>
        </w:rPr>
        <w:t>等工作增加了“三公”经费。</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内因公出行、乡村振兴下乡等工作所需车辆的燃料费、维修费、过桥过路费、保险费等。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费用支出较年初预算数无增减，较上年支出数增加1.12万元，增长47.1%，主要原因是</w:t>
      </w:r>
      <w:r>
        <w:rPr>
          <w:rFonts w:hint="default" w:ascii="Times New Roman" w:hAnsi="Times New Roman" w:eastAsia="方正仿宋_GBK" w:cs="Times New Roman"/>
          <w:sz w:val="32"/>
          <w:szCs w:val="32"/>
          <w:shd w:val="clear" w:color="auto" w:fill="FFFFFF"/>
          <w:lang w:val="en-US" w:eastAsia="zh-CN"/>
        </w:rPr>
        <w:t>市</w:t>
      </w:r>
      <w:r>
        <w:rPr>
          <w:rFonts w:hint="default" w:ascii="Times New Roman" w:hAnsi="Times New Roman" w:eastAsia="方正仿宋_GBK" w:cs="Times New Roman"/>
          <w:sz w:val="32"/>
          <w:szCs w:val="32"/>
        </w:rPr>
        <w:t>县相关部门到我单位交流</w:t>
      </w:r>
      <w:r>
        <w:rPr>
          <w:rFonts w:hint="default"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shd w:val="clear" w:color="auto" w:fill="FFFFFF"/>
          <w:lang w:val="en-US" w:eastAsia="zh-CN"/>
        </w:rPr>
        <w:t>商会</w:t>
      </w:r>
      <w:r>
        <w:rPr>
          <w:rFonts w:hint="default" w:ascii="Times New Roman" w:hAnsi="Times New Roman" w:eastAsia="方正仿宋_GBK" w:cs="Times New Roman"/>
          <w:color w:val="auto"/>
          <w:sz w:val="32"/>
          <w:szCs w:val="32"/>
          <w:shd w:val="clear" w:color="auto" w:fill="FFFFFF"/>
          <w:lang w:eastAsia="zh-CN"/>
        </w:rPr>
        <w:t>活动</w:t>
      </w:r>
      <w:r>
        <w:rPr>
          <w:rFonts w:hint="default" w:ascii="Times New Roman" w:hAnsi="Times New Roman" w:eastAsia="方正仿宋_GBK" w:cs="Times New Roman"/>
          <w:color w:val="auto"/>
          <w:sz w:val="32"/>
          <w:szCs w:val="32"/>
          <w:shd w:val="clear" w:color="auto" w:fill="FFFFFF"/>
          <w:lang w:val="en-US" w:eastAsia="zh-CN"/>
        </w:rPr>
        <w:t>、民营企业发展调研</w:t>
      </w:r>
      <w:r>
        <w:rPr>
          <w:rFonts w:hint="default" w:ascii="Times New Roman" w:hAnsi="Times New Roman" w:eastAsia="方正仿宋_GBK" w:cs="Times New Roman"/>
          <w:color w:val="auto"/>
          <w:sz w:val="32"/>
          <w:szCs w:val="32"/>
          <w:shd w:val="clear" w:color="auto" w:fill="FFFFFF"/>
          <w:lang w:eastAsia="zh-CN"/>
        </w:rPr>
        <w:t>等工作</w:t>
      </w:r>
      <w:r>
        <w:rPr>
          <w:rFonts w:hint="default" w:ascii="Times New Roman" w:hAnsi="Times New Roman" w:eastAsia="方正仿宋_GBK" w:cs="Times New Roman"/>
          <w:color w:val="auto"/>
          <w:sz w:val="32"/>
          <w:szCs w:val="32"/>
          <w:shd w:val="clear" w:color="auto" w:fill="FFFFFF"/>
          <w:lang w:val="en-US" w:eastAsia="zh-CN"/>
        </w:rPr>
        <w:t>增加了公务用车运行费用。</w:t>
      </w:r>
    </w:p>
    <w:p>
      <w:pPr>
        <w:pStyle w:val="5"/>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1.50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接待市内其他区县工商联人员到我单位交流、学习、调研以及接受相关部门检查指导工作发生的接待支出。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较上年支出数增加0.89万元，增长145.9%，主要原因是</w:t>
      </w:r>
      <w:r>
        <w:rPr>
          <w:rFonts w:hint="default" w:ascii="Times New Roman" w:hAnsi="Times New Roman" w:eastAsia="方正仿宋_GBK" w:cs="Times New Roman"/>
          <w:sz w:val="32"/>
          <w:szCs w:val="32"/>
          <w:shd w:val="clear" w:color="auto" w:fill="FFFFFF"/>
          <w:lang w:val="en-US" w:eastAsia="zh-CN"/>
        </w:rPr>
        <w:t>市</w:t>
      </w:r>
      <w:r>
        <w:rPr>
          <w:rFonts w:hint="default" w:ascii="Times New Roman" w:hAnsi="Times New Roman" w:eastAsia="方正仿宋_GBK" w:cs="Times New Roman"/>
          <w:sz w:val="32"/>
          <w:szCs w:val="32"/>
        </w:rPr>
        <w:t>县相关部门到我单位交流</w:t>
      </w:r>
      <w:r>
        <w:rPr>
          <w:rFonts w:hint="default"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shd w:val="clear" w:color="auto" w:fill="FFFFFF"/>
          <w:lang w:val="en-US" w:eastAsia="zh-CN"/>
        </w:rPr>
        <w:t>商会</w:t>
      </w:r>
      <w:r>
        <w:rPr>
          <w:rFonts w:hint="default" w:ascii="Times New Roman" w:hAnsi="Times New Roman" w:eastAsia="方正仿宋_GBK" w:cs="Times New Roman"/>
          <w:color w:val="auto"/>
          <w:sz w:val="32"/>
          <w:szCs w:val="32"/>
          <w:shd w:val="clear" w:color="auto" w:fill="FFFFFF"/>
          <w:lang w:eastAsia="zh-CN"/>
        </w:rPr>
        <w:t>活动</w:t>
      </w:r>
      <w:r>
        <w:rPr>
          <w:rFonts w:hint="default" w:ascii="Times New Roman" w:hAnsi="Times New Roman" w:eastAsia="方正仿宋_GBK" w:cs="Times New Roman"/>
          <w:color w:val="auto"/>
          <w:sz w:val="32"/>
          <w:szCs w:val="32"/>
          <w:shd w:val="clear" w:color="auto" w:fill="FFFFFF"/>
          <w:lang w:val="en-US" w:eastAsia="zh-CN"/>
        </w:rPr>
        <w:t>、民营企业发展调研</w:t>
      </w:r>
      <w:r>
        <w:rPr>
          <w:rFonts w:hint="default" w:ascii="Times New Roman" w:hAnsi="Times New Roman" w:eastAsia="方正仿宋_GBK" w:cs="Times New Roman"/>
          <w:color w:val="auto"/>
          <w:sz w:val="32"/>
          <w:szCs w:val="32"/>
          <w:shd w:val="clear" w:color="auto" w:fill="FFFFFF"/>
          <w:lang w:eastAsia="zh-CN"/>
        </w:rPr>
        <w:t>等工作增加了公务接待费用。</w:t>
      </w:r>
    </w:p>
    <w:p>
      <w:pPr>
        <w:pStyle w:val="5"/>
        <w:keepNext w:val="0"/>
        <w:keepLines w:val="0"/>
        <w:pageBreakBefore w:val="0"/>
        <w:widowControl/>
        <w:kinsoku/>
        <w:wordWrap/>
        <w:overflowPunct/>
        <w:topLinePunct w:val="0"/>
        <w:autoSpaceDE/>
        <w:autoSpaceDN/>
        <w:bidi w:val="0"/>
        <w:adjustRightInd/>
        <w:snapToGrid w:val="0"/>
        <w:spacing w:before="0" w:beforeLines="0" w:beforeAutospacing="0" w:after="0" w:afterLines="0" w:afterAutospacing="0" w:line="594"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80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187.50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keepNext w:val="0"/>
        <w:keepLines w:val="0"/>
        <w:pageBreakBefore w:val="0"/>
        <w:widowControl/>
        <w:kinsoku/>
        <w:wordWrap/>
        <w:overflowPunct/>
        <w:topLinePunct w:val="0"/>
        <w:autoSpaceDE/>
        <w:autoSpaceDN/>
        <w:bidi w:val="0"/>
        <w:adjustRightInd/>
        <w:snapToGrid/>
        <w:spacing w:before="0" w:beforeLines="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0.38</w:t>
      </w:r>
      <w:r>
        <w:rPr>
          <w:rFonts w:hint="default" w:ascii="Times New Roman" w:hAnsi="Times New Roman" w:eastAsia="方正仿宋_GBK" w:cs="Times New Roman"/>
          <w:sz w:val="32"/>
          <w:szCs w:val="32"/>
          <w:shd w:val="clear" w:color="auto" w:fill="FFFFFF"/>
        </w:rPr>
        <w:t>万元，与2023年度相比，减少3.65万元，下降90.6%，主要原因是</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压缩会议了参会人数和会议时间，减少了不必要的会议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6.17</w:t>
      </w:r>
      <w:r>
        <w:rPr>
          <w:rFonts w:hint="default" w:ascii="Times New Roman" w:hAnsi="Times New Roman" w:eastAsia="方正仿宋_GBK" w:cs="Times New Roman"/>
          <w:sz w:val="32"/>
          <w:szCs w:val="32"/>
          <w:shd w:val="clear" w:color="auto" w:fill="FFFFFF"/>
        </w:rPr>
        <w:t>万元，与2023年度相比，减少2.47万元，下降28.6%，主要原因是</w:t>
      </w:r>
      <w:r>
        <w:rPr>
          <w:rFonts w:hint="default" w:ascii="Times New Roman" w:hAnsi="Times New Roman" w:eastAsia="方正仿宋_GBK" w:cs="Times New Roman"/>
          <w:sz w:val="32"/>
          <w:szCs w:val="32"/>
          <w:lang w:eastAsia="zh-CN"/>
        </w:rPr>
        <w:t>压缩了外出参加培训的民营企业家人数和时间</w:t>
      </w:r>
      <w:r>
        <w:rPr>
          <w:rFonts w:hint="default" w:ascii="Times New Roman" w:hAnsi="Times New Roman" w:eastAsia="方正仿宋_GBK" w:cs="Times New Roman"/>
          <w:sz w:val="32"/>
          <w:szCs w:val="32"/>
        </w:rPr>
        <w:t>。</w:t>
      </w:r>
    </w:p>
    <w:p>
      <w:pPr>
        <w:pStyle w:val="11"/>
        <w:keepNext w:val="0"/>
        <w:keepLines w:val="0"/>
        <w:pageBreakBefore w:val="0"/>
        <w:widowControl/>
        <w:numPr>
          <w:ilvl w:val="0"/>
          <w:numId w:val="1"/>
        </w:numPr>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机关运行经费情况说明</w:t>
      </w:r>
    </w:p>
    <w:p>
      <w:pPr>
        <w:pStyle w:val="11"/>
        <w:keepNext w:val="0"/>
        <w:keepLines w:val="0"/>
        <w:pageBreakBefore w:val="0"/>
        <w:widowControl/>
        <w:numPr>
          <w:ilvl w:val="0"/>
          <w:numId w:val="0"/>
        </w:numPr>
        <w:kinsoku/>
        <w:wordWrap/>
        <w:overflowPunct/>
        <w:topLinePunct w:val="0"/>
        <w:autoSpaceDE w:val="0"/>
        <w:autoSpaceDN/>
        <w:bidi w:val="0"/>
        <w:adjustRightInd/>
        <w:spacing w:before="0" w:beforeLines="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14.98</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办公费、印刷费、水电费、邮电费、物业管理费、差旅费、劳务费、委托业务费等保障单位正常运转的费用。</w:t>
      </w:r>
      <w:r>
        <w:rPr>
          <w:rFonts w:hint="default" w:ascii="Times New Roman" w:hAnsi="Times New Roman" w:eastAsia="方正仿宋_GBK" w:cs="Times New Roman"/>
          <w:sz w:val="32"/>
          <w:szCs w:val="32"/>
          <w:shd w:val="clear" w:color="auto" w:fill="FFFFFF"/>
        </w:rPr>
        <w:t>机关运行经费较上年支出数减少14.38万元，下降49.0%，主要原因是</w:t>
      </w:r>
      <w:r>
        <w:rPr>
          <w:rFonts w:hint="default" w:ascii="Times New Roman" w:hAnsi="Times New Roman" w:eastAsia="方正仿宋_GBK" w:cs="Times New Roman"/>
          <w:sz w:val="32"/>
          <w:szCs w:val="32"/>
          <w:shd w:val="clear" w:color="auto" w:fill="FFFFFF"/>
          <w:lang w:val="en-US" w:eastAsia="zh-CN"/>
        </w:rPr>
        <w:t>巫溪县民营经济服务中心按要求实行独立核算减少了运行经费。</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0" w:beforeLines="0" w:after="0" w:afterLines="0" w:line="594" w:lineRule="exact"/>
        <w:ind w:left="0" w:leftChars="0" w:right="0" w:rightChars="0" w:firstLine="643" w:firstLineChars="200"/>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3" w:firstLineChars="200"/>
        <w:textAlignment w:val="auto"/>
        <w:outlineLvl w:val="9"/>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sz w:val="32"/>
          <w:szCs w:val="32"/>
        </w:rPr>
        <w:t>根据预算绩效管理要求，我单位对部门整体和</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个二级项目开展了绩效自评，涉及财政拨款项目支出资金</w:t>
      </w:r>
      <w:r>
        <w:rPr>
          <w:rFonts w:hint="default" w:ascii="Times New Roman" w:hAnsi="Times New Roman" w:eastAsia="方正仿宋_GBK" w:cs="Times New Roman"/>
          <w:sz w:val="32"/>
          <w:szCs w:val="32"/>
          <w:lang w:val="en-US" w:eastAsia="zh-CN"/>
        </w:rPr>
        <w:t>60.10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从评价情况来看，项目立项较为规范，绩效目标明确，预算编制合理，管理科学规范，资金到位及时，总体完成情况较好。</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4" w:lineRule="exact"/>
        <w:ind w:left="0" w:leftChars="0" w:right="0" w:rightChars="0" w:firstLine="643" w:firstLineChars="200"/>
        <w:jc w:val="left"/>
        <w:textAlignment w:val="auto"/>
        <w:outlineLvl w:val="9"/>
        <w:rPr>
          <w:rFonts w:hint="default" w:ascii="Times New Roman" w:hAnsi="Times New Roman" w:eastAsia="方正仿宋_GBK" w:cs="Times New Roman"/>
          <w:b/>
          <w:bCs/>
          <w:kern w:val="0"/>
          <w:sz w:val="32"/>
          <w:szCs w:val="32"/>
          <w:shd w:val="clear" w:color="auto" w:fill="FFFFFF"/>
          <w:lang w:eastAsia="zh-CN"/>
        </w:rPr>
      </w:pPr>
      <w:r>
        <w:rPr>
          <w:rFonts w:hint="default" w:ascii="Times New Roman" w:hAnsi="Times New Roman" w:eastAsia="方正仿宋_GBK" w:cs="Times New Roman"/>
          <w:b/>
          <w:bCs/>
          <w:kern w:val="0"/>
          <w:sz w:val="32"/>
          <w:szCs w:val="32"/>
          <w:shd w:val="clear" w:color="auto" w:fill="FFFFFF"/>
        </w:rPr>
        <w:t>部门整体绩效自评</w:t>
      </w:r>
      <w:r>
        <w:rPr>
          <w:rFonts w:hint="default" w:ascii="Times New Roman" w:hAnsi="Times New Roman" w:eastAsia="方正仿宋_GBK" w:cs="Times New Roman"/>
          <w:b/>
          <w:bCs/>
          <w:kern w:val="0"/>
          <w:sz w:val="32"/>
          <w:szCs w:val="32"/>
          <w:shd w:val="clear" w:color="auto" w:fill="FFFFFF"/>
          <w:lang w:eastAsia="zh-CN"/>
        </w:rPr>
        <w:t>表</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4" w:lineRule="exact"/>
        <w:ind w:left="0" w:leftChars="0" w:right="0" w:rightChars="0" w:firstLine="640" w:firstLineChars="200"/>
        <w:textAlignment w:val="auto"/>
        <w:outlineLvl w:val="9"/>
        <w:rPr>
          <w:rFonts w:hint="default" w:ascii="Times New Roman" w:hAnsi="Times New Roman" w:eastAsia="方正仿宋_GBK" w:cs="Times New Roman"/>
          <w:b/>
          <w:bCs/>
          <w:kern w:val="0"/>
          <w:sz w:val="32"/>
          <w:szCs w:val="32"/>
          <w:shd w:val="clear" w:color="auto" w:fill="FFFFFF"/>
          <w:lang w:eastAsia="zh-CN"/>
        </w:rPr>
      </w:pPr>
      <w:r>
        <w:rPr>
          <w:rFonts w:hint="default" w:ascii="Times New Roman" w:hAnsi="Times New Roman" w:eastAsia="方正仿宋_GBK" w:cs="Times New Roman"/>
          <w:b w:val="0"/>
          <w:bCs w:val="0"/>
          <w:kern w:val="0"/>
          <w:sz w:val="32"/>
          <w:szCs w:val="32"/>
          <w:shd w:val="clear" w:color="auto" w:fill="FFFFFF"/>
          <w:lang w:eastAsia="zh-CN"/>
        </w:rPr>
        <w:t>无</w:t>
      </w:r>
      <w:r>
        <w:rPr>
          <w:rFonts w:hint="default" w:ascii="Times New Roman" w:hAnsi="Times New Roman" w:eastAsia="方正仿宋_GBK" w:cs="Times New Roman"/>
          <w:b/>
          <w:bCs/>
          <w:kern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color="auto" w:fill="FFFFFF"/>
        </w:rPr>
      </w:pPr>
      <w:r>
        <w:rPr>
          <w:rFonts w:hint="eastAsia" w:ascii="方正仿宋_GBK" w:hAnsi="方正仿宋_GBK" w:eastAsia="方正仿宋_GBK" w:cs="方正仿宋_GBK"/>
          <w:b/>
          <w:bCs/>
          <w:kern w:val="0"/>
          <w:sz w:val="32"/>
          <w:szCs w:val="32"/>
          <w:shd w:val="clear" w:color="auto" w:fill="FFFFFF"/>
        </w:rPr>
        <w:t>项目支出绩效自评表</w:t>
      </w:r>
    </w:p>
    <w:tbl>
      <w:tblPr>
        <w:tblStyle w:val="6"/>
        <w:tblW w:w="0" w:type="auto"/>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500"/>
        <w:gridCol w:w="513"/>
        <w:gridCol w:w="1125"/>
        <w:gridCol w:w="797"/>
        <w:gridCol w:w="1132"/>
        <w:gridCol w:w="690"/>
        <w:gridCol w:w="1140"/>
        <w:gridCol w:w="720"/>
        <w:gridCol w:w="64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045"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045" w:type="dxa"/>
            <w:gridSpan w:val="11"/>
            <w:tcBorders>
              <w:top w:val="nil"/>
              <w:left w:val="nil"/>
              <w:bottom w:val="nil"/>
              <w:right w:val="nil"/>
            </w:tcBorders>
            <w:noWrap w:val="0"/>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2024年“万企兴万村”宣传经费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50023824T000004215953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019-巫溪县工商业联合会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86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王龙月</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13594768535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04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808080"/>
                <w:sz w:val="20"/>
                <w:szCs w:val="20"/>
                <w:u w:val="none"/>
              </w:rPr>
            </w:pPr>
            <w:r>
              <w:rPr>
                <w:rFonts w:hint="eastAsia" w:ascii="宋体" w:hAnsi="宋体" w:eastAsia="宋体" w:cs="宋体"/>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9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500"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97"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500"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97"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500"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2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97"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3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690" w:type="dxa"/>
            <w:tcBorders>
              <w:top w:val="single" w:color="000000" w:sz="4" w:space="0"/>
              <w:left w:val="single" w:color="000000" w:sz="4" w:space="0"/>
              <w:bottom w:val="single" w:color="000000" w:sz="4" w:space="0"/>
              <w:right w:val="nil"/>
            </w:tcBorders>
            <w:noWrap w:val="0"/>
            <w:vAlign w:val="center"/>
          </w:tcPr>
          <w:p>
            <w:pPr>
              <w:rPr>
                <w:rFonts w:hint="eastAsia" w:ascii="宋体" w:hAnsi="宋体" w:eastAsia="宋体" w:cs="宋体"/>
                <w:i w:val="0"/>
                <w:iCs w:val="0"/>
                <w:color w:val="000000"/>
                <w:sz w:val="20"/>
                <w:szCs w:val="20"/>
                <w:u w:val="none"/>
              </w:rPr>
            </w:pPr>
          </w:p>
        </w:tc>
        <w:tc>
          <w:tcPr>
            <w:tcW w:w="114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0,000.00 </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808080"/>
                <w:sz w:val="20"/>
                <w:szCs w:val="20"/>
                <w:u w:val="none"/>
              </w:rPr>
            </w:pPr>
            <w:r>
              <w:rPr>
                <w:rFonts w:hint="eastAsia" w:ascii="宋体" w:hAnsi="宋体" w:eastAsia="宋体" w:cs="宋体"/>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0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75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3006"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全国“万企兴万村”行动领导小组的要求，以乡村振兴示范镇村、产业强镇和乡村振兴重点帮扶区县、乡镇、村为重点，打造一批“万企兴万村”示范项目和基地，确保各个示范项目和基地“有看头、有听头、有学头”，起到对广大民营企业的示范和带动作用。</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3759"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全国“万企兴万村”行动领导小组的要求，以乡村振兴示范镇村、产业强镇和乡村振兴重点帮扶区县、乡镇、村为重点，打造一批“万企兴万村”示范项目和基地，确保各个示范项目和基地“有看头、有听头、有学头”，起到对广大民营企业的示范和带动作用。</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全国“万企兴万村”行动领导小组的要求，以乡村振兴示范镇村、产业强镇和乡村振兴重点帮扶区县、乡镇、村为重点，打造一批“万企兴万村”示范项目和基地，确保各个示范项目和基地“有看头、有听头、有学头”，起到对广大民营企业的示范和带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045"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808080"/>
                <w:sz w:val="20"/>
                <w:szCs w:val="20"/>
                <w:u w:val="none"/>
              </w:rPr>
            </w:pPr>
            <w:r>
              <w:rPr>
                <w:rFonts w:hint="eastAsia" w:ascii="宋体" w:hAnsi="宋体" w:eastAsia="宋体" w:cs="宋体"/>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调研次数</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基层组织活动</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提高参政议政影响力</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95</w:t>
            </w:r>
          </w:p>
        </w:tc>
        <w:tc>
          <w:tcPr>
            <w:tcW w:w="7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95</w:t>
            </w:r>
          </w:p>
        </w:tc>
        <w:tc>
          <w:tcPr>
            <w:tcW w:w="1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bl>
    <w:p>
      <w:pPr>
        <w:keepNext w:val="0"/>
        <w:keepLines w:val="0"/>
        <w:pageBreakBefore w:val="0"/>
        <w:widowControl/>
        <w:suppressLineNumbers w:val="0"/>
        <w:kinsoku/>
        <w:wordWrap/>
        <w:overflowPunct/>
        <w:topLinePunct w:val="0"/>
        <w:autoSpaceDE w:val="0"/>
        <w:autoSpaceDN/>
        <w:bidi w:val="0"/>
        <w:adjustRightInd/>
        <w:snapToGrid/>
        <w:spacing w:before="0" w:beforeLines="0" w:beforeAutospacing="0" w:after="0" w:afterLines="0" w:afterAutospacing="0" w:line="596" w:lineRule="exact"/>
        <w:ind w:left="0" w:leftChars="0" w:right="0" w:rightChars="0" w:firstLine="643" w:firstLineChars="200"/>
        <w:jc w:val="left"/>
        <w:textAlignment w:val="auto"/>
        <w:outlineLvl w:val="9"/>
        <w:rPr>
          <w:rFonts w:hint="eastAsia" w:ascii="楷体" w:hAnsi="楷体" w:eastAsia="楷体" w:cs="楷体"/>
          <w:b/>
          <w:bCs/>
          <w:kern w:val="0"/>
          <w:sz w:val="32"/>
          <w:szCs w:val="32"/>
          <w:shd w:val="clear" w:color="auto" w:fill="FFFFFF"/>
        </w:rPr>
      </w:pPr>
      <w:r>
        <w:rPr>
          <w:rFonts w:hint="eastAsia" w:ascii="楷体" w:hAnsi="楷体" w:eastAsia="楷体" w:cs="楷体"/>
          <w:b/>
          <w:bCs/>
          <w:kern w:val="0"/>
          <w:sz w:val="32"/>
          <w:szCs w:val="32"/>
          <w:shd w:val="clear" w:color="auto" w:fill="FFFFFF"/>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未组织开展绩效评价</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E w:val="0"/>
        <w:autoSpaceDN/>
        <w:bidi w:val="0"/>
        <w:adjustRightInd/>
        <w:snapToGrid/>
        <w:spacing w:after="0" w:afterLines="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color="auto" w:fill="FFFFFF"/>
        </w:rPr>
      </w:pPr>
      <w:r>
        <w:rPr>
          <w:rFonts w:hint="eastAsia" w:ascii="楷体" w:hAnsi="楷体" w:eastAsia="楷体" w:cs="楷体"/>
          <w:b/>
          <w:bCs/>
          <w:kern w:val="0"/>
          <w:sz w:val="32"/>
          <w:szCs w:val="32"/>
          <w:shd w:val="clear" w:color="auto" w:fill="FFFFFF"/>
          <w:lang w:val="en-US" w:eastAsia="zh-CN" w:bidi="ar"/>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Style w:val="8"/>
          <w:rFonts w:hint="eastAsia" w:ascii="黑体" w:hAnsi="黑体" w:eastAsia="黑体" w:cs="黑体"/>
          <w:sz w:val="32"/>
          <w:szCs w:val="32"/>
          <w:shd w:val="clear" w:color="auto" w:fill="FFFFFF"/>
          <w:lang w:val="en-US" w:eastAsia="zh-CN" w:bidi="ar-SA"/>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财政局未委托第三方对我</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开展绩效评价。</w:t>
      </w:r>
    </w:p>
    <w:p>
      <w:pPr>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方正仿宋_GBK" w:hAnsi="方正仿宋_GBK" w:eastAsia="方正仿宋_GBK" w:cs="方正仿宋_GBK"/>
          <w:b/>
          <w:bCs/>
          <w:sz w:val="32"/>
          <w:szCs w:val="32"/>
          <w:shd w:val="clear" w:color="auto" w:fill="FFFFFF"/>
        </w:rPr>
        <w:t xml:space="preserve"> </w:t>
      </w:r>
      <w:r>
        <w:rPr>
          <w:rStyle w:val="9"/>
          <w:rFonts w:hint="eastAsia" w:ascii="方正仿宋_GBK" w:hAnsi="方正仿宋_GBK" w:eastAsia="方正仿宋_GBK" w:cs="方正仿宋_GBK"/>
          <w:b/>
          <w:bCs/>
          <w:sz w:val="32"/>
          <w:szCs w:val="32"/>
          <w:shd w:val="clear" w:color="auto"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color="auto" w:fill="FFFFFF"/>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color="auto" w:fill="FFFFFF"/>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指事业单位在专业业务活动及其辅助活动之外开展非独立核算经营活动取得的现金流入。</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color="auto" w:fill="FFFFFF"/>
        </w:rPr>
        <w:t>指单位上年结转本年使用的基本支出结转、项目支出结转和结余、经营结余。</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color="auto" w:fill="FFFFFF"/>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color="auto" w:fill="FFFFFF"/>
        </w:rPr>
        <w:t>指单位结转下年的基本支出结转、项目支出结转和结余、经营结余。</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color="auto" w:fill="FFFFFF"/>
        </w:rPr>
        <w:t>指在基本支出之外为完成特定行政任务和事业发展目标所发生的支出。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color="auto" w:fill="FFFFFF"/>
        </w:rPr>
        <w:t>指事业单位在专业业务活动及其辅助活动之外开展非独立核算经营活动发生的支出。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color="auto" w:fill="FFFFFF"/>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color="auto" w:fill="FFFFFF"/>
        </w:rPr>
        <w:t>反映单位购买商品和服务的支出（不包括用于购置固定资产的支出、战略性和应急储备支出）。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color="auto" w:fill="FFFFFF"/>
        </w:rPr>
        <w:t>反映用于对个人和家庭的补助支出。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keepNext w:val="0"/>
        <w:keepLines w:val="0"/>
        <w:pageBreakBefore w:val="0"/>
        <w:widowControl/>
        <w:kinsoku/>
        <w:wordWrap/>
        <w:overflowPunct/>
        <w:topLinePunct w:val="0"/>
        <w:autoSpaceDN/>
        <w:bidi w:val="0"/>
        <w:adjustRightInd/>
        <w:snapToGrid/>
        <w:spacing w:before="0" w:beforeLines="0" w:beforeAutospacing="0" w:after="0" w:afterLines="0" w:afterAutospacing="0" w:line="594" w:lineRule="exact"/>
        <w:ind w:left="0" w:leftChars="0" w:right="0" w:rightChars="0" w:firstLine="640" w:firstLineChars="200"/>
        <w:textAlignment w:val="auto"/>
        <w:outlineLvl w:val="9"/>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color="auto" w:fill="FFFFFF"/>
        </w:rPr>
        <w:t>本单位决算公开信息反馈和联系方式：</w:t>
      </w:r>
      <w:r>
        <w:rPr>
          <w:rFonts w:hint="eastAsia" w:ascii="方正仿宋_GBK" w:hAnsi="方正仿宋_GBK" w:eastAsia="方正仿宋_GBK" w:cs="方正仿宋_GBK"/>
          <w:kern w:val="0"/>
          <w:sz w:val="32"/>
          <w:szCs w:val="32"/>
          <w:shd w:val="clear" w:color="auto" w:fill="FFFFFF"/>
          <w:lang w:val="en-US" w:eastAsia="zh-CN"/>
        </w:rPr>
        <w:t>王龙月</w:t>
      </w:r>
    </w:p>
    <w:p>
      <w:pPr>
        <w:pStyle w:val="11"/>
        <w:keepNext w:val="0"/>
        <w:keepLines w:val="0"/>
        <w:pageBreakBefore w:val="0"/>
        <w:widowControl/>
        <w:kinsoku/>
        <w:wordWrap/>
        <w:overflowPunct/>
        <w:topLinePunct w:val="0"/>
        <w:autoSpaceDE w:val="0"/>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color w:val="FF0000"/>
          <w:kern w:val="0"/>
          <w:sz w:val="32"/>
          <w:szCs w:val="32"/>
          <w:shd w:val="clear" w:color="auto" w:fill="FFFFFF"/>
        </w:rPr>
        <w:t xml:space="preserve"> </w:t>
      </w:r>
      <w:r>
        <w:rPr>
          <w:rFonts w:hint="default" w:ascii="Times New Roman" w:hAnsi="Times New Roman" w:eastAsia="方正仿宋_GBK" w:cs="Times New Roman"/>
          <w:color w:val="auto"/>
          <w:kern w:val="0"/>
          <w:sz w:val="32"/>
          <w:szCs w:val="32"/>
          <w:shd w:val="clear" w:color="auto" w:fill="FFFFFF"/>
          <w:lang w:val="en-US" w:eastAsia="zh-CN"/>
        </w:rPr>
        <w:t>023-</w:t>
      </w:r>
      <w:r>
        <w:rPr>
          <w:rFonts w:hint="default" w:ascii="Times New Roman" w:hAnsi="Times New Roman" w:eastAsia="方正仿宋_GBK" w:cs="Times New Roman"/>
          <w:color w:val="auto"/>
          <w:kern w:val="0"/>
          <w:sz w:val="32"/>
          <w:szCs w:val="32"/>
          <w:lang w:val="en-US" w:eastAsia="zh-CN"/>
        </w:rPr>
        <w:t>51522280</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rPr>
              <w:t>巫溪县工商业联合会（本级）</w:t>
            </w:r>
          </w:p>
        </w:tc>
        <w:tc>
          <w:tcPr>
            <w:tcW w:w="441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宋体" w:cs="Times New Roman"/>
                <w:i w:val="0"/>
                <w:iCs w:val="0"/>
                <w:color w:val="000000"/>
                <w:sz w:val="22"/>
                <w:szCs w:val="22"/>
                <w:u w:val="none"/>
              </w:rPr>
            </w:pP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49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200.76</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283" w:type="dxa"/>
            <w:gridSpan w:val="11"/>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0" w:hRule="atLeast"/>
        </w:trPr>
        <w:tc>
          <w:tcPr>
            <w:tcW w:w="20035" w:type="dxa"/>
            <w:gridSpan w:val="10"/>
            <w:tcBorders>
              <w:top w:val="nil"/>
              <w:left w:val="nil"/>
              <w:bottom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rPr>
              <w:t>巫溪县工商业联合会（本级）</w:t>
            </w:r>
          </w:p>
        </w:tc>
        <w:tc>
          <w:tcPr>
            <w:tcW w:w="2248" w:type="dxa"/>
            <w:tcBorders>
              <w:top w:val="nil"/>
              <w:left w:val="nil"/>
              <w:right w:val="nil"/>
            </w:tcBorders>
            <w:noWrap w:val="0"/>
            <w:vAlign w:val="bottom"/>
          </w:tcPr>
          <w:p>
            <w:pPr>
              <w:keepNext w:val="0"/>
              <w:keepLines w:val="0"/>
              <w:widowControl/>
              <w:suppressLineNumbers w:val="0"/>
              <w:ind w:firstLine="400" w:firstLineChars="20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ind w:firstLine="400" w:firstLineChars="20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24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4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4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8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200.76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200.76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4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20128</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民主党派及工商联事务</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2012801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2012899</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其他民主党派及工商联事务支出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34.93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34.93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34.27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267" w:type="dxa"/>
            <w:gridSpan w:val="10"/>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rPr>
              <w:t xml:space="preserve">巫溪县工商业联合会（本级） </w:t>
            </w:r>
          </w:p>
        </w:tc>
        <w:tc>
          <w:tcPr>
            <w:tcW w:w="2565"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565"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5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565"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200.76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140.66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60.10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56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94.44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20128</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民主党派及工商联事务</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154.54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94.44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60.10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2012801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94.44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2012899</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其他民主党派及工商联事务支出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60.10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34.93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34.93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34.27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18.81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7.82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7.64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rPr>
              <w:t>巫溪县工商业联合会（本级）</w:t>
            </w:r>
          </w:p>
        </w:tc>
        <w:tc>
          <w:tcPr>
            <w:tcW w:w="287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154.54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154.54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34.93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34.93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4.89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4.89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6.40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6.40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3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200.76 </w:t>
            </w: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r>
    </w:tbl>
    <w:p>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017"/>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634" w:type="dxa"/>
            <w:gridSpan w:val="1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434" w:type="dxa"/>
            <w:gridSpan w:val="16"/>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rPr>
              <w:t>巫溪县工商业联合会（本级）</w:t>
            </w:r>
          </w:p>
        </w:tc>
        <w:tc>
          <w:tcPr>
            <w:tcW w:w="120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434" w:type="dxa"/>
            <w:gridSpan w:val="16"/>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1200"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134"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17"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17"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17"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200.76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140.66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60.10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200.76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140.66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60.10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154.54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94.44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154.54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94.44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20128</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民主党派及工商联事务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154.54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94.44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154.54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94.44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60.10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2012801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94.44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94.44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94.44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94.44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2012899</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其他民主党派及工商联事务支出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60.10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34.93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34.93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34.93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34.93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34.27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34.27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34.27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34.27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18.81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7.82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7.64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1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rPr>
              <w:t>巫溪县工商业联合会（本级）</w:t>
            </w:r>
          </w:p>
        </w:tc>
        <w:tc>
          <w:tcPr>
            <w:tcW w:w="268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106.91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25.11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18.10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33.12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3.05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7.82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0.54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7.64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4.89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0.24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6.40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0.54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18.76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0.66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16.71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1.40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0.23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 </w:t>
            </w: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0.71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宋体" w:cs="Times New Roman"/>
                <w:i w:val="0"/>
                <w:iCs w:val="0"/>
                <w:color w:val="000000"/>
                <w:sz w:val="22"/>
                <w:szCs w:val="22"/>
                <w:u w:val="none"/>
              </w:rPr>
            </w:pPr>
          </w:p>
        </w:tc>
        <w:tc>
          <w:tcPr>
            <w:tcW w:w="12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color w:val="000000"/>
                <w:sz w:val="22"/>
                <w:szCs w:val="22"/>
              </w:rPr>
              <w:t xml:space="preserve">125.68 </w:t>
            </w:r>
          </w:p>
        </w:tc>
        <w:tc>
          <w:tcPr>
            <w:tcW w:w="12067" w:type="dxa"/>
            <w:gridSpan w:val="5"/>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 </w:t>
            </w:r>
          </w:p>
        </w:tc>
      </w:tr>
    </w:tbl>
    <w:p>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050"/>
        <w:gridCol w:w="1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2700" w:type="dxa"/>
            <w:gridSpan w:val="17"/>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467" w:type="dxa"/>
            <w:gridSpan w:val="16"/>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rPr>
              <w:t>巫溪县工商业联合会（本级）</w:t>
            </w:r>
          </w:p>
        </w:tc>
        <w:tc>
          <w:tcPr>
            <w:tcW w:w="1233"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467" w:type="dxa"/>
            <w:gridSpan w:val="16"/>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1233"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200"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283"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050"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233"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1" w:hRule="atLeast"/>
        </w:trPr>
        <w:tc>
          <w:tcPr>
            <w:tcW w:w="317"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5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3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2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442" w:firstLineChars="200"/>
        <w:jc w:val="left"/>
        <w:rPr>
          <w:rFonts w:hint="eastAsia" w:ascii="宋体" w:hAnsi="宋体" w:eastAsia="宋体" w:cs="宋体"/>
          <w:b/>
          <w:bCs/>
          <w:sz w:val="22"/>
          <w:szCs w:val="22"/>
        </w:rPr>
      </w:pPr>
      <w:r>
        <w:rPr>
          <w:rFonts w:hint="eastAsia" w:ascii="宋体" w:hAnsi="宋体" w:eastAsia="宋体" w:cs="宋体"/>
          <w:b/>
          <w:bCs/>
          <w:sz w:val="22"/>
          <w:szCs w:val="22"/>
        </w:rPr>
        <w:t>“本年无</w:t>
      </w:r>
      <w:r>
        <w:rPr>
          <w:rFonts w:hint="eastAsia" w:cs="宋体"/>
          <w:b/>
          <w:bCs/>
          <w:sz w:val="22"/>
          <w:szCs w:val="22"/>
          <w:lang w:eastAsia="zh-CN"/>
        </w:rPr>
        <w:t>政府性基金预算财政拨款</w:t>
      </w:r>
      <w:r>
        <w:rPr>
          <w:rFonts w:hint="eastAsia" w:ascii="宋体" w:hAnsi="宋体" w:eastAsia="宋体" w:cs="宋体"/>
          <w:b/>
          <w:bCs/>
          <w:sz w:val="22"/>
          <w:szCs w:val="22"/>
        </w:rPr>
        <w:t>收支，故本表无数据”</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rPr>
              <w:t>巫溪县工商业联合会（本级）</w:t>
            </w:r>
          </w:p>
        </w:tc>
        <w:tc>
          <w:tcPr>
            <w:tcW w:w="21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noWrap w:val="0"/>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ind w:firstLine="440" w:firstLineChars="200"/>
        <w:jc w:val="left"/>
        <w:rPr>
          <w:rFonts w:hint="eastAsia" w:ascii="宋体" w:hAnsi="宋体" w:eastAsia="宋体" w:cs="宋体"/>
          <w:sz w:val="22"/>
          <w:szCs w:val="22"/>
        </w:rPr>
      </w:pPr>
      <w:r>
        <w:rPr>
          <w:rFonts w:hint="eastAsia" w:ascii="宋体" w:hAnsi="宋体" w:eastAsia="宋体" w:cs="宋体"/>
          <w:sz w:val="22"/>
          <w:szCs w:val="22"/>
        </w:rPr>
        <w:t>“本年无</w:t>
      </w:r>
      <w:r>
        <w:rPr>
          <w:rFonts w:hint="eastAsia" w:cs="宋体"/>
          <w:sz w:val="22"/>
          <w:szCs w:val="22"/>
          <w:lang w:eastAsia="zh-CN"/>
        </w:rPr>
        <w:t>国有资本经营预算财政拨款</w:t>
      </w:r>
      <w:r>
        <w:rPr>
          <w:rFonts w:hint="eastAsia" w:ascii="宋体" w:hAnsi="宋体" w:eastAsia="宋体" w:cs="宋体"/>
          <w:sz w:val="22"/>
          <w:szCs w:val="22"/>
        </w:rPr>
        <w:t>收支，故本表无数据”</w:t>
      </w:r>
    </w:p>
    <w:p>
      <w:pPr>
        <w:numPr>
          <w:ilvl w:val="0"/>
          <w:numId w:val="0"/>
        </w:numPr>
        <w:ind w:firstLine="420" w:firstLineChars="2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noWrap w:val="0"/>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rPr>
              <w:t>巫溪县工商业联合会（本级）</w:t>
            </w:r>
          </w:p>
        </w:tc>
        <w:tc>
          <w:tcPr>
            <w:tcW w:w="428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0.38</w:t>
            </w:r>
          </w:p>
        </w:tc>
        <w:tc>
          <w:tcPr>
            <w:tcW w:w="5317" w:type="dxa"/>
            <w:tcBorders>
              <w:top w:val="nil"/>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6.17</w:t>
            </w:r>
          </w:p>
        </w:tc>
        <w:tc>
          <w:tcPr>
            <w:tcW w:w="5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3.58</w:t>
            </w:r>
          </w:p>
        </w:tc>
        <w:tc>
          <w:tcPr>
            <w:tcW w:w="53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noWrap w:val="0"/>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altName w:val="方正黑体_GBK"/>
    <w:panose1 w:val="020B0503020204020204"/>
    <w:charset w:val="00"/>
    <w:family w:val="auto"/>
    <w:pitch w:val="default"/>
    <w:sig w:usb0="80000287" w:usb1="280F3C52" w:usb2="00000016" w:usb3="00000000" w:csb0="0004001F" w:csb1="00000000"/>
  </w:font>
  <w:font w:name="Arial">
    <w:altName w:val="Times New Roman"/>
    <w:panose1 w:val="020B0604020202020204"/>
    <w:charset w:val="00"/>
    <w:family w:val="swiss"/>
    <w:pitch w:val="default"/>
    <w:sig w:usb0="E0002AFF" w:usb1="C0007843" w:usb2="00000009" w:usb3="00000000" w:csb0="400001FF" w:csb1="F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- 1 -</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YBxSrHAQAAewMAAA4AAABkcnMv&#10;ZTJvRG9jLnhtbK1TS44TMRTcI3EHy3viTi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n1LihcMnOn/9cv724/z9M1k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OYBxSr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default"/>
                            </w:rPr>
                          </w:pPr>
                          <w:r>
                            <w:t xml:space="preserve"> </w:t>
                          </w:r>
                          <w:r>
                            <w:fldChar w:fldCharType="begin"/>
                          </w:r>
                          <w:r>
                            <w:instrText xml:space="preserve">PAGE   \* MERGEFORMAT</w:instrText>
                          </w:r>
                          <w:r>
                            <w:fldChar w:fldCharType="separate"/>
                          </w:r>
                          <w:r>
                            <w:t>- 13 -</w:t>
                          </w:r>
                          <w:r>
                            <w:fldChar w:fldCharType="end"/>
                          </w:r>
                          <w:r>
                            <w:t xml:space="preserve"> </w:t>
                          </w:r>
                        </w:p>
                      </w:txbxContent>
                    </wps:txbx>
                    <wps:bodyPr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nmjG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V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SeaMa8kBAAB6AwAADgAAAAAA&#10;AAABACAAAAA0AQAAZHJzL2Uyb0RvYy54bWxQSwUGAAAAAAYABgBZAQAAbwUAAAAA&#10;">
              <v:fill on="f" focussize="0,0"/>
              <v:stroke on="f"/>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t>- 13 -</w:t>
                    </w:r>
                    <w:r>
                      <w:fldChar w:fldCharType="end"/>
                    </w:r>
                    <w:r>
                      <w:t xml:space="preserve"> </w:t>
                    </w:r>
                  </w:p>
                </w:txbxContent>
              </v:textbox>
            </v:shape>
          </w:pict>
        </mc:Fallback>
      </mc:AlternateContent>
    </w:r>
    <w: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a:noFill/>
                      </a:ln>
                    </wps:spPr>
                    <wps:txbx>
                      <w:txbxContent>
                        <w:p>
                          <w:pPr>
                            <w:pStyle w:val="2"/>
                            <w:jc w:val="both"/>
                            <w:rPr>
                              <w:rFonts w:hint="default" w:cs="宋体"/>
                            </w:rPr>
                          </w:pPr>
                          <w:r>
                            <w:rPr>
                              <w:rFonts w:cs="宋体"/>
                            </w:rPr>
                            <w:t>— 27.1 —</w:t>
                          </w:r>
                        </w:p>
                      </w:txbxContent>
                    </wps:txbx>
                    <wps:bodyPr vert="horz" wrap="none" lIns="0" tIns="0" rIns="0" bIns="0" anchor="t" anchorCtr="false" upright="true"/>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LQiPonWAAAACgEAAA8AAAAAAAAAAQAg&#10;AAAAOAAAAGRycy9kb3ducmV2LnhtbFBLAQIUABQAAAAIAIdO4kBhzj30wQEAAF8DAAAOAAAAAAAA&#10;AAEAIAAAADsBAABkcnMvZTJvRG9jLnhtbFBLBQYAAAAABgAGAFkBAABuBQAAAAA=&#10;">
              <v:fill on="f" focussize="0,0"/>
              <v:stroke on="f"/>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4"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default"/>
                            </w:rPr>
                          </w:pPr>
                          <w:r>
                            <w:t xml:space="preserve"> </w:t>
                          </w:r>
                          <w:r>
                            <w:fldChar w:fldCharType="begin"/>
                          </w:r>
                          <w:r>
                            <w:instrText xml:space="preserve">PAGE   \* MERGEFORMAT</w:instrText>
                          </w:r>
                          <w:r>
                            <w:fldChar w:fldCharType="separate"/>
                          </w:r>
                          <w:r>
                            <w:t>- 14 -</w:t>
                          </w:r>
                          <w:r>
                            <w:fldChar w:fldCharType="end"/>
                          </w:r>
                          <w:r>
                            <w:t xml:space="preserve"> </w:t>
                          </w:r>
                        </w:p>
                      </w:txbxContent>
                    </wps:txbx>
                    <wps:bodyPr vert="horz" wrap="none" lIns="0" tIns="0" rIns="0" bIns="0" anchor="t" anchorCtr="false" upright="true">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2whodywEAAHwDAAAOAAAA&#10;AAAAAAEAIAAAADQBAABkcnMvZTJvRG9jLnhtbFBLBQYAAAAABgAGAFkBAABxBQAAAAA=&#10;">
              <v:fill on="f" focussize="0,0"/>
              <v:stroke on="f"/>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t>- 14 -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a:noFill/>
                      </a:ln>
                    </wps:spPr>
                    <wps:txbx>
                      <w:txbxContent>
                        <w:p>
                          <w:pPr>
                            <w:pStyle w:val="2"/>
                            <w:jc w:val="both"/>
                            <w:rPr>
                              <w:rFonts w:hint="default" w:cs="宋体"/>
                            </w:rPr>
                          </w:pPr>
                          <w:r>
                            <w:rPr>
                              <w:rFonts w:cs="宋体"/>
                            </w:rPr>
                            <w:t>— 27.1 —</w:t>
                          </w:r>
                        </w:p>
                      </w:txbxContent>
                    </wps:txbx>
                    <wps:bodyPr vert="horz" wrap="none" lIns="0" tIns="0" rIns="0" bIns="0" anchor="t" anchorCtr="false" upright="true"/>
                  </wps:wsp>
                </a:graphicData>
              </a:graphic>
            </wp:anchor>
          </w:drawing>
        </mc:Choice>
        <mc:Fallback>
          <w:pict>
            <v:shape id="文本框 1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tCI+idYAAAAKAQAADwAAAAAAAAAB&#10;ACAAAAA4AAAAZHJzL2Rvd25yZXYueG1sUEsBAhQAFAAAAAgAh07iQG4z9UDDAQAAYQMAAA4AAAAA&#10;AAAAAQAgAAAAOwEAAGRycy9lMm9Eb2MueG1sUEsFBgAAAAAGAAYAWQEAAHAFAAAAAA==&#10;">
              <v:fill on="f" focussize="0,0"/>
              <v:stroke on="f"/>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375F9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hint="eastAsia" w:ascii="宋体" w:hAnsi="宋体" w:eastAsia="宋体" w:cs="Times New Roman"/>
      <w:sz w:val="24"/>
      <w:szCs w:val="24"/>
      <w:lang w:val="en-US" w:eastAsia="zh-CN" w:bidi="ar-SA"/>
    </w:rPr>
  </w:style>
  <w:style w:type="character" w:default="1" w:styleId="7">
    <w:name w:val="Default Paragraph Fon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iPriority w:val="0"/>
    <w:pPr>
      <w:spacing w:before="100" w:beforeLines="0" w:beforeAutospacing="1" w:after="100" w:afterLines="0" w:afterAutospacing="1"/>
    </w:pPr>
  </w:style>
  <w:style w:type="character" w:styleId="8">
    <w:name w:val="Strong"/>
    <w:uiPriority w:val="0"/>
    <w:rPr>
      <w:b/>
    </w:rPr>
  </w:style>
  <w:style w:type="character" w:customStyle="1" w:styleId="9">
    <w:name w:val="21"/>
    <w:basedOn w:val="7"/>
    <w:uiPriority w:val="0"/>
    <w:rPr>
      <w:rFonts w:hint="default" w:ascii="Wingdings" w:hAnsi="Wingdings" w:cs="Wingdings"/>
      <w:b/>
      <w:bCs/>
    </w:rPr>
  </w:style>
  <w:style w:type="paragraph" w:customStyle="1" w:styleId="10">
    <w:name w:val="List Paragraph"/>
    <w:basedOn w:val="1"/>
    <w:uiPriority w:val="0"/>
    <w:pPr>
      <w:keepNext w:val="0"/>
      <w:keepLines w:val="0"/>
      <w:widowControl/>
      <w:suppressLineNumbers w:val="0"/>
      <w:spacing w:before="0" w:beforeLines="0" w:beforeAutospacing="0" w:after="0" w:afterLines="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1">
    <w:name w:val="列出段落1"/>
    <w:basedOn w:val="1"/>
    <w:uiPriority w:val="0"/>
    <w:pPr>
      <w:ind w:firstLine="420" w:firstLineChars="200"/>
    </w:pPr>
    <w:rPr>
      <w:rFonts w:hint="default"/>
    </w:rPr>
  </w:style>
  <w:style w:type="paragraph" w:customStyle="1" w:styleId="12">
    <w:name w:val="Normal (Web)"/>
    <w:basedOn w:val="1"/>
    <w:uiPriority w:val="0"/>
    <w:pPr>
      <w:spacing w:before="100" w:beforeLines="0" w:beforeAutospacing="1" w:after="100" w:afterLines="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7102</Words>
  <Characters>8186</Characters>
  <Lines>161</Lines>
  <Paragraphs>45</Paragraphs>
  <TotalTime>0</TotalTime>
  <ScaleCrop>false</ScaleCrop>
  <LinksUpToDate>false</LinksUpToDate>
  <CharactersWithSpaces>8270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cp:lastPrinted>2025-09-18T11:01:53Z</cp:lastPrinted>
  <dcterms:modified xsi:type="dcterms:W3CDTF">2025-09-22T10:30:25Z</dcterms:modified>
  <dc:title>巫溪县工商业联合会（本级）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B2279AC2AD584513AF0BCD620F76D585</vt:lpwstr>
  </property>
  <property fmtid="{D5CDD505-2E9C-101B-9397-08002B2CF9AE}" pid="4" name="KSOTemplateDocerSaveRecord">
    <vt:lpwstr>eyJoZGlkIjoiNDE2Yzc3ZDY3N2JmMzllNmMxZmRkYTQ4ZTdiM2EyNjgiLCJ1c2VySWQiOiIyODc3MzMwMzYifQ==</vt:lpwstr>
  </property>
</Properties>
</file>