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重庆巫溪工业园区管理委员会</w:t>
      </w:r>
    </w:p>
    <w:p>
      <w:pPr>
        <w:pStyle w:val="5"/>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部门</w:t>
      </w:r>
      <w:r>
        <w:rPr>
          <w:rStyle w:val="8"/>
          <w:rFonts w:hint="eastAsia" w:ascii="方正黑体_GBK" w:hAnsi="方正黑体_GBK" w:eastAsia="方正黑体_GBK" w:cs="方正黑体_GBK"/>
          <w:b w:val="0"/>
          <w:bCs/>
          <w:sz w:val="32"/>
          <w:szCs w:val="32"/>
          <w:shd w:val="clear" w:color="auto" w:fill="FFFFFF"/>
        </w:rPr>
        <w:t>基本情况</w:t>
      </w: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（1）重庆巫溪工业园区管理委员会受巫溪县人民政府委托履行园区管理和服务职能。 </w:t>
      </w: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（2）按规定管理监督园区内国有企业、入园企业有关事项；协调处理园区内各企业的涉外事务；协调处理园区内各企业之间，企业同各级政府、各有关部门的关系。 </w:t>
      </w: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（3）配合拟订园区所在乡镇总体规划、控制性详规、城市设计及专项规划；负责园区建设规划和建设项目选址定点；负责统一规划、监督、管理园区内基础设施和公共设施建设。</w:t>
      </w: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（4）负责编制和实施园区产业发展规划和年度建设计划；</w:t>
      </w: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负责园区招商引资和企业服务工作，拟订园区招商引资优惠政策以及各项具体管理办法、服务工作规定等，经县委、县政府批准后组织实施；负责初审入驻企业建设方案。 </w:t>
      </w: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5）拟订园区用地计划，协助相关部门和乡镇（街道）做好园区内土地征收、房屋拆迁等工作，协调园区土地使用权的出让、资产出租等工作；组织园区内已征收土地的整治工作；配合相关部门做好园区内移民安置。 </w:t>
      </w: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（6）负责园区国民经济综合统计、专项统计工作，编制并组织实施园区经济运行调控目标和工作考评。 </w:t>
      </w: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（7）组织监管园区建设资金的筹集、使用和偿还。 </w:t>
      </w: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（8）负责园区内企业环境保护、消防、安全生产监督管理等工作。 </w:t>
      </w: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（9）协助有关部门管理园区内国有资产工作；配合国有企业主管部门对巫溪县工业发展（集团）有限公司、巫溪县金灿实业发展有限责任公司等国有企业的考核工作。 </w:t>
      </w: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（10）为园区内企业提供融资咨询服务，协调银企关系，搭建融资平台，协调开展融资担保和贷后监督管理工作；引导建立中小企业融资体系。 </w:t>
      </w: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（11）承担巫溪县凤凰新城建设指挥部办公室职责。 </w:t>
      </w: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（12）完成县委、县政府交办的其他任务。</w:t>
      </w: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（二）机构设置</w:t>
      </w: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根据《中共巫溪县委办公室  巫溪县人民政府办公室关于印发重庆巫溪工业园区管理委员会职能配置、内设机构和人员编制规定的通知》（巫溪委办发〔2024〕1 号）最新规定，重庆巫溪工业园区管理委员会内设综合科、规划建设科、招商服务科和安全环保科四科室，行政编制增加至17名，设主任1名，副主任2名；内设机构领导职数按1名配备。</w:t>
      </w: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shd w:val="clear" w:color="auto" w:fill="FFFFFF"/>
          <w:lang w:val="en-US" w:eastAsia="zh-CN"/>
        </w:rPr>
        <w:t>下属一个事业单位巫溪县工业园区企业服务中心，为正科级事业单位，</w:t>
      </w:r>
      <w:r>
        <w:rPr>
          <w:rFonts w:hint="eastAsia" w:ascii="方正仿宋_GBK" w:hAnsi="方正仿宋_GBK" w:eastAsia="方正仿宋_GBK" w:cs="方正仿宋_GBK"/>
          <w:sz w:val="32"/>
          <w:szCs w:val="32"/>
          <w:highlight w:val="none"/>
          <w:lang w:val="en-US" w:eastAsia="zh-CN"/>
        </w:rPr>
        <w:t>事业编制10名，核定领导职数2名，其中主任1名、副主任1名，无内设机构。</w:t>
      </w: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部门</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val="0"/>
        <w:shd w:val="clear" w:color="auto"/>
        <w:kinsoku/>
        <w:wordWrap/>
        <w:overflowPunct/>
        <w:topLinePunct w:val="0"/>
        <w:autoSpaceDN/>
        <w:bidi w:val="0"/>
        <w:adjustRightInd/>
        <w:snapToGrid w:val="0"/>
        <w:spacing w:beforeAutospacing="0" w:afterAutospacing="0" w:line="594" w:lineRule="exact"/>
        <w:ind w:firstLine="642" w:firstLineChars="2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度收入总计2446.08万元，支出总计</w:t>
      </w:r>
      <w:r>
        <w:rPr>
          <w:rFonts w:ascii="方正仿宋_GBK" w:hAnsi="方正仿宋_GBK" w:eastAsia="方正仿宋_GBK" w:cs="方正仿宋_GBK"/>
          <w:sz w:val="32"/>
          <w:szCs w:val="32"/>
        </w:rPr>
        <w:t>2446.08</w:t>
      </w:r>
      <w:r>
        <w:rPr>
          <w:rFonts w:ascii="方正仿宋_GBK" w:hAnsi="方正仿宋_GBK" w:eastAsia="方正仿宋_GBK" w:cs="方正仿宋_GBK"/>
          <w:sz w:val="32"/>
          <w:szCs w:val="32"/>
          <w:shd w:val="clear" w:color="auto" w:fill="FFFFFF"/>
        </w:rPr>
        <w:t>万元。收、支与2023年度相比，增加2076.00万元，增长561.0%，主要原因是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度收入合计2446.08万元，与2023年度相比，增加2076.00万元，增长561.0%，主要原因是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2446.08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2446.08</w:t>
      </w:r>
      <w:r>
        <w:rPr>
          <w:rFonts w:ascii="方正仿宋_GBK" w:hAnsi="方正仿宋_GBK" w:eastAsia="方正仿宋_GBK" w:cs="方正仿宋_GBK"/>
          <w:sz w:val="32"/>
          <w:szCs w:val="32"/>
          <w:shd w:val="clear" w:color="auto" w:fill="FFFFFF"/>
        </w:rPr>
        <w:t>万元，与2023年度相比，增加2076.00万元，增长561.0%，主要原因是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387.98</w:t>
      </w:r>
      <w:r>
        <w:rPr>
          <w:rFonts w:ascii="方正仿宋_GBK" w:hAnsi="方正仿宋_GBK" w:eastAsia="方正仿宋_GBK" w:cs="方正仿宋_GBK"/>
          <w:sz w:val="32"/>
          <w:szCs w:val="32"/>
          <w:shd w:val="clear" w:color="auto" w:fill="FFFFFF"/>
        </w:rPr>
        <w:t>万元，占15.86%；项目支出</w:t>
      </w:r>
      <w:r>
        <w:rPr>
          <w:rFonts w:ascii="方正仿宋_GBK" w:hAnsi="方正仿宋_GBK" w:eastAsia="方正仿宋_GBK" w:cs="方正仿宋_GBK"/>
          <w:sz w:val="32"/>
          <w:szCs w:val="32"/>
        </w:rPr>
        <w:t>2058.10</w:t>
      </w:r>
      <w:r>
        <w:rPr>
          <w:rFonts w:ascii="方正仿宋_GBK" w:hAnsi="方正仿宋_GBK" w:eastAsia="方正仿宋_GBK" w:cs="方正仿宋_GBK"/>
          <w:sz w:val="32"/>
          <w:szCs w:val="32"/>
          <w:shd w:val="clear" w:color="auto" w:fill="FFFFFF"/>
        </w:rPr>
        <w:t>万元，占84.14%。此外，结余分配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度财政拨款收、支总计2446.08万元。与202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年相比，财政拨款收、支总计各增加2076.00万元，增长561.0%。主要原因是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p>
    <w:p>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2446.08</w:t>
      </w:r>
      <w:r>
        <w:rPr>
          <w:rFonts w:ascii="方正仿宋_GBK" w:hAnsi="方正仿宋_GBK" w:eastAsia="方正仿宋_GBK" w:cs="方正仿宋_GBK"/>
          <w:sz w:val="32"/>
          <w:szCs w:val="32"/>
          <w:shd w:val="clear" w:color="auto" w:fill="FFFFFF"/>
        </w:rPr>
        <w:t>万元，与2023年度相比，增加2076.00万元，增长561.0%。主要原因是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r>
        <w:rPr>
          <w:rFonts w:ascii="方正仿宋_GBK" w:hAnsi="方正仿宋_GBK" w:eastAsia="方正仿宋_GBK" w:cs="方正仿宋_GBK"/>
          <w:sz w:val="32"/>
          <w:szCs w:val="32"/>
          <w:shd w:val="clear" w:color="auto" w:fill="FFFFFF"/>
        </w:rPr>
        <w:t>较年初预算数增加2142.21万元，增长705.0%。主要原因是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2446.08</w:t>
      </w:r>
      <w:r>
        <w:rPr>
          <w:rFonts w:ascii="方正仿宋_GBK" w:hAnsi="方正仿宋_GBK" w:eastAsia="方正仿宋_GBK" w:cs="方正仿宋_GBK"/>
          <w:sz w:val="32"/>
          <w:szCs w:val="32"/>
          <w:shd w:val="clear" w:color="auto" w:fill="FFFFFF"/>
        </w:rPr>
        <w:t>万元，与2023年度相比，增加2076.00万元，增长561.0%。主要原因是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r>
        <w:rPr>
          <w:rFonts w:ascii="方正仿宋_GBK" w:hAnsi="方正仿宋_GBK" w:eastAsia="方正仿宋_GBK" w:cs="方正仿宋_GBK"/>
          <w:sz w:val="32"/>
          <w:szCs w:val="32"/>
          <w:shd w:val="clear" w:color="auto" w:fill="FFFFFF"/>
        </w:rPr>
        <w:t>较年初预算数增加2142.21万元，增长705.0%。主要原因是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345.38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14.12</w:t>
      </w:r>
      <w:r>
        <w:rPr>
          <w:rFonts w:ascii="方正仿宋_GBK" w:hAnsi="方正仿宋_GBK" w:eastAsia="方正仿宋_GBK" w:cs="方正仿宋_GBK"/>
          <w:sz w:val="32"/>
          <w:szCs w:val="32"/>
          <w:shd w:val="clear" w:color="auto" w:fill="FFFFFF"/>
        </w:rPr>
        <w:t>%，较年初预算数增加113.11万元，增长48.7%，主要原因是</w:t>
      </w:r>
      <w:r>
        <w:rPr>
          <w:rFonts w:hint="eastAsia" w:ascii="方正仿宋_GBK" w:hAnsi="方正仿宋_GBK" w:eastAsia="方正仿宋_GBK" w:cs="方正仿宋_GBK"/>
          <w:sz w:val="32"/>
          <w:szCs w:val="32"/>
          <w:lang w:val="en-US" w:eastAsia="zh-CN"/>
        </w:rPr>
        <w:t>因机构改革，原巫溪县红池坝景区管委会6名行政编制人员从2024年2月起调入本部门，故一般公共服务支出增长48.7%。</w:t>
      </w:r>
    </w:p>
    <w:p>
      <w:pPr>
        <w:ind w:firstLine="640" w:firstLineChars="200"/>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58.84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2.41</w:t>
      </w:r>
      <w:r>
        <w:rPr>
          <w:rFonts w:ascii="方正仿宋_GBK" w:hAnsi="方正仿宋_GBK" w:eastAsia="方正仿宋_GBK" w:cs="方正仿宋_GBK"/>
          <w:sz w:val="32"/>
          <w:szCs w:val="32"/>
          <w:shd w:val="clear" w:color="auto" w:fill="FFFFFF"/>
        </w:rPr>
        <w:t>%，较年初预算数增加18.63万元，增长46.3%，主要原因是</w:t>
      </w:r>
      <w:r>
        <w:rPr>
          <w:rFonts w:hint="eastAsia" w:ascii="方正仿宋_GBK" w:hAnsi="方正仿宋_GBK" w:eastAsia="方正仿宋_GBK" w:cs="方正仿宋_GBK"/>
          <w:sz w:val="32"/>
          <w:szCs w:val="32"/>
          <w:lang w:val="en-US" w:eastAsia="zh-CN"/>
        </w:rPr>
        <w:t>因机构改革，原巫溪县红池坝景区管委会6名行政编制人员从2024年2月起调入本部门，故</w:t>
      </w:r>
      <w:r>
        <w:rPr>
          <w:rFonts w:ascii="方正仿宋_GBK" w:hAnsi="方正仿宋_GBK" w:eastAsia="方正仿宋_GBK" w:cs="方正仿宋_GBK"/>
          <w:sz w:val="32"/>
          <w:szCs w:val="32"/>
          <w:shd w:val="clear" w:color="auto" w:fill="FFFFFF"/>
        </w:rPr>
        <w:t>社会保障与就业支出增长46.3%</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17.86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0.73</w:t>
      </w:r>
      <w:r>
        <w:rPr>
          <w:rFonts w:ascii="方正仿宋_GBK" w:hAnsi="方正仿宋_GBK" w:eastAsia="方正仿宋_GBK" w:cs="方正仿宋_GBK"/>
          <w:sz w:val="32"/>
          <w:szCs w:val="32"/>
          <w:shd w:val="clear" w:color="auto" w:fill="FFFFFF"/>
        </w:rPr>
        <w:t>%，较年初预算数增加4.09万元，增长29.7%，主要原因是</w:t>
      </w:r>
      <w:r>
        <w:rPr>
          <w:rFonts w:hint="eastAsia" w:ascii="方正仿宋_GBK" w:hAnsi="方正仿宋_GBK" w:eastAsia="方正仿宋_GBK" w:cs="方正仿宋_GBK"/>
          <w:sz w:val="32"/>
          <w:szCs w:val="32"/>
          <w:lang w:val="en-US" w:eastAsia="zh-CN"/>
        </w:rPr>
        <w:t>因机构改革，原巫溪县红池坝景区管委会6名行政编制人员从2024年2月起调入本部门，故</w:t>
      </w:r>
      <w:r>
        <w:rPr>
          <w:rFonts w:ascii="方正仿宋_GBK" w:hAnsi="方正仿宋_GBK" w:eastAsia="方正仿宋_GBK" w:cs="方正仿宋_GBK"/>
          <w:sz w:val="32"/>
          <w:szCs w:val="32"/>
          <w:shd w:val="clear" w:color="auto" w:fill="FFFFFF"/>
        </w:rPr>
        <w:t>卫生健康支出增长29.7%</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2000.00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81.76</w:t>
      </w:r>
      <w:r>
        <w:rPr>
          <w:rFonts w:ascii="方正仿宋_GBK" w:hAnsi="方正仿宋_GBK" w:eastAsia="方正仿宋_GBK" w:cs="方正仿宋_GBK"/>
          <w:sz w:val="32"/>
          <w:szCs w:val="32"/>
          <w:shd w:val="clear" w:color="auto" w:fill="FFFFFF"/>
        </w:rPr>
        <w:t>%，较年初预算数增加2000.00万元，增长100.0%，主要原因是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本年新增一个项目工程巫溪县农产品（预制菜）加工产业园区及配套基础设施工程，故农林水支出增长100.0%。</w:t>
      </w:r>
    </w:p>
    <w:p>
      <w:pPr>
        <w:keepNext w:val="0"/>
        <w:keepLines w:val="0"/>
        <w:pageBreakBefore w:val="0"/>
        <w:widowControl w:val="0"/>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住房保障支出24.01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0.98</w:t>
      </w:r>
      <w:r>
        <w:rPr>
          <w:rFonts w:ascii="方正仿宋_GBK" w:hAnsi="方正仿宋_GBK" w:eastAsia="方正仿宋_GBK" w:cs="方正仿宋_GBK"/>
          <w:sz w:val="32"/>
          <w:szCs w:val="32"/>
          <w:shd w:val="clear" w:color="auto" w:fill="FFFFFF"/>
        </w:rPr>
        <w:t>%，较年初预算数增加6.40万元，增长36.3%，主要原因是</w:t>
      </w:r>
      <w:r>
        <w:rPr>
          <w:rFonts w:hint="eastAsia" w:ascii="方正仿宋_GBK" w:hAnsi="方正仿宋_GBK" w:eastAsia="方正仿宋_GBK" w:cs="方正仿宋_GBK"/>
          <w:sz w:val="32"/>
          <w:szCs w:val="32"/>
          <w:lang w:val="en-US" w:eastAsia="zh-CN"/>
        </w:rPr>
        <w:t>因机构改革，原巫溪县红池坝景区管委会6名行政编制人员从2024年2月起调入本部门，故</w:t>
      </w:r>
      <w:r>
        <w:rPr>
          <w:rFonts w:ascii="方正仿宋_GBK" w:hAnsi="方正仿宋_GBK" w:eastAsia="方正仿宋_GBK" w:cs="方正仿宋_GBK"/>
          <w:sz w:val="32"/>
          <w:szCs w:val="32"/>
        </w:rPr>
        <w:t>住房保障支出</w:t>
      </w:r>
      <w:r>
        <w:rPr>
          <w:rFonts w:ascii="方正仿宋_GBK" w:hAnsi="方正仿宋_GBK" w:eastAsia="方正仿宋_GBK" w:cs="方正仿宋_GBK"/>
          <w:sz w:val="32"/>
          <w:szCs w:val="32"/>
          <w:shd w:val="clear" w:color="auto" w:fill="FFFFFF"/>
        </w:rPr>
        <w:t>增长36.3%</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387.98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333.11</w:t>
      </w:r>
      <w:r>
        <w:rPr>
          <w:rFonts w:ascii="方正仿宋_GBK" w:hAnsi="方正仿宋_GBK" w:eastAsia="方正仿宋_GBK" w:cs="方正仿宋_GBK"/>
          <w:sz w:val="32"/>
          <w:szCs w:val="32"/>
          <w:shd w:val="clear" w:color="auto" w:fill="FFFFFF"/>
        </w:rPr>
        <w:t>万元，与2023年度相比，增加28.21万元，增长9.3%，主要原因是</w:t>
      </w:r>
      <w:r>
        <w:rPr>
          <w:rFonts w:hint="eastAsia" w:ascii="方正仿宋_GBK" w:hAnsi="方正仿宋_GBK" w:eastAsia="方正仿宋_GBK" w:cs="方正仿宋_GBK"/>
          <w:sz w:val="32"/>
          <w:szCs w:val="32"/>
          <w:lang w:val="en-US" w:eastAsia="zh-CN"/>
        </w:rPr>
        <w:t>因机构改革，原巫溪县红池坝景区管委会6名行政编制人员从2024年2月起调入本部门，故</w:t>
      </w:r>
      <w:r>
        <w:rPr>
          <w:rFonts w:ascii="方正仿宋_GBK" w:hAnsi="方正仿宋_GBK" w:eastAsia="方正仿宋_GBK" w:cs="方正仿宋_GBK"/>
          <w:sz w:val="32"/>
          <w:szCs w:val="32"/>
          <w:shd w:val="clear" w:color="auto" w:fill="FFFFFF"/>
        </w:rPr>
        <w:t>一般公共财政拨款基本支出增长9.3%</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highlight w:val="none"/>
          <w:shd w:val="clear" w:color="auto" w:fill="FFFFFF"/>
        </w:rPr>
        <w:t>基本工资、津贴补贴、奖金</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lang w:val="en-US" w:eastAsia="zh-CN"/>
        </w:rPr>
        <w:t>绩效工资、</w:t>
      </w:r>
      <w:r>
        <w:rPr>
          <w:rFonts w:hint="eastAsia" w:ascii="方正仿宋_GBK" w:hAnsi="方正仿宋_GBK" w:eastAsia="方正仿宋_GBK" w:cs="方正仿宋_GBK"/>
          <w:sz w:val="32"/>
          <w:szCs w:val="32"/>
          <w:highlight w:val="none"/>
          <w:shd w:val="clear" w:color="auto" w:fill="FFFFFF"/>
        </w:rPr>
        <w:t>社会保障缴费</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lang w:val="en-US" w:eastAsia="zh-CN"/>
        </w:rPr>
        <w:t>住房公积金</w:t>
      </w:r>
      <w:r>
        <w:rPr>
          <w:rFonts w:hint="eastAsia" w:ascii="方正仿宋_GBK" w:hAnsi="方正仿宋_GBK" w:eastAsia="方正仿宋_GBK" w:cs="方正仿宋_GBK"/>
          <w:sz w:val="32"/>
          <w:szCs w:val="32"/>
          <w:highlight w:val="none"/>
          <w:shd w:val="clear" w:color="auto" w:fill="FFFFFF"/>
        </w:rPr>
        <w:t>等</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54.87</w:t>
      </w:r>
      <w:r>
        <w:rPr>
          <w:rFonts w:ascii="方正仿宋_GBK" w:hAnsi="方正仿宋_GBK" w:eastAsia="方正仿宋_GBK" w:cs="方正仿宋_GBK"/>
          <w:sz w:val="32"/>
          <w:szCs w:val="32"/>
          <w:shd w:val="clear" w:color="auto" w:fill="FFFFFF"/>
        </w:rPr>
        <w:t>万元，与2023年度相比，增加8.69万元，增长18.8%，主要原因是</w:t>
      </w:r>
      <w:r>
        <w:rPr>
          <w:rFonts w:hint="eastAsia" w:ascii="方正仿宋_GBK" w:hAnsi="方正仿宋_GBK" w:eastAsia="方正仿宋_GBK" w:cs="方正仿宋_GBK"/>
          <w:sz w:val="32"/>
          <w:szCs w:val="32"/>
          <w:lang w:val="en-US" w:eastAsia="zh-CN"/>
        </w:rPr>
        <w:t>因机构改革，原巫溪县红池坝景区管委会6名行政编制人员从2024年2月起调入本部门，故</w:t>
      </w:r>
      <w:r>
        <w:rPr>
          <w:rFonts w:ascii="方正仿宋_GBK" w:hAnsi="方正仿宋_GBK" w:eastAsia="方正仿宋_GBK" w:cs="方正仿宋_GBK"/>
          <w:sz w:val="32"/>
          <w:szCs w:val="32"/>
          <w:shd w:val="clear" w:color="auto" w:fill="FFFFFF"/>
        </w:rPr>
        <w:t>公用经费增长18.8%</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cs="Times New Roman"/>
          <w:sz w:val="32"/>
          <w:szCs w:val="32"/>
        </w:rPr>
        <w:t>办公费、水电费、差旅费、公务用车运行维护费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其他交通费用等。</w:t>
      </w:r>
    </w:p>
    <w:p>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shd w:val="clear" w:color="auto" w:fill="auto"/>
        </w:rPr>
      </w:pPr>
      <w:r>
        <w:rPr>
          <w:rStyle w:val="8"/>
          <w:rFonts w:ascii="方正仿宋_GBK" w:hAnsi="方正仿宋_GBK" w:eastAsia="方正仿宋_GBK" w:cs="方正仿宋_GBK"/>
          <w:b w:val="0"/>
          <w:bCs/>
          <w:sz w:val="32"/>
          <w:szCs w:val="32"/>
          <w:shd w:val="clear" w:color="auto" w:fill="auto"/>
        </w:rPr>
        <w:t>本部门</w:t>
      </w:r>
      <w:r>
        <w:rPr>
          <w:rStyle w:val="8"/>
          <w:rFonts w:hint="eastAsia" w:ascii="方正仿宋_GBK" w:hAnsi="方正仿宋_GBK" w:eastAsia="方正仿宋_GBK" w:cs="方正仿宋_GBK"/>
          <w:b w:val="0"/>
          <w:bCs/>
          <w:sz w:val="32"/>
          <w:szCs w:val="32"/>
          <w:shd w:val="clear" w:color="auto" w:fill="auto"/>
          <w:lang w:eastAsia="zh-CN"/>
        </w:rPr>
        <w:t>2024年</w:t>
      </w:r>
      <w:r>
        <w:rPr>
          <w:rStyle w:val="8"/>
          <w:rFonts w:ascii="方正仿宋_GBK" w:hAnsi="方正仿宋_GBK" w:eastAsia="方正仿宋_GBK" w:cs="方正仿宋_GBK"/>
          <w:b w:val="0"/>
          <w:bCs/>
          <w:sz w:val="32"/>
          <w:szCs w:val="32"/>
          <w:shd w:val="clear" w:color="auto" w:fill="auto"/>
        </w:rPr>
        <w:t>度无政府性基金预算财政拨款收支。</w:t>
      </w:r>
    </w:p>
    <w:p>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shd w:val="clear" w:color="auto" w:fill="auto"/>
        </w:rPr>
      </w:pPr>
      <w:r>
        <w:rPr>
          <w:rStyle w:val="8"/>
          <w:rFonts w:ascii="方正仿宋_GBK" w:hAnsi="方正仿宋_GBK" w:eastAsia="方正仿宋_GBK" w:cs="方正仿宋_GBK"/>
          <w:b w:val="0"/>
          <w:bCs/>
          <w:sz w:val="32"/>
          <w:szCs w:val="32"/>
          <w:shd w:val="clear" w:color="auto" w:fill="auto"/>
        </w:rPr>
        <w:t>本部门</w:t>
      </w:r>
      <w:r>
        <w:rPr>
          <w:rStyle w:val="8"/>
          <w:rFonts w:hint="eastAsia" w:ascii="方正仿宋_GBK" w:hAnsi="方正仿宋_GBK" w:eastAsia="方正仿宋_GBK" w:cs="方正仿宋_GBK"/>
          <w:b w:val="0"/>
          <w:bCs/>
          <w:sz w:val="32"/>
          <w:szCs w:val="32"/>
          <w:shd w:val="clear" w:color="auto" w:fill="auto"/>
          <w:lang w:eastAsia="zh-CN"/>
        </w:rPr>
        <w:t>2024年</w:t>
      </w:r>
      <w:r>
        <w:rPr>
          <w:rStyle w:val="8"/>
          <w:rFonts w:ascii="方正仿宋_GBK" w:hAnsi="方正仿宋_GBK" w:eastAsia="方正仿宋_GBK" w:cs="方正仿宋_GBK"/>
          <w:b w:val="0"/>
          <w:bCs/>
          <w:sz w:val="32"/>
          <w:szCs w:val="32"/>
          <w:shd w:val="clear" w:color="auto" w:fill="auto"/>
        </w:rPr>
        <w:t>度无国有资本经营预算财政拨款支出。</w:t>
      </w:r>
    </w:p>
    <w:p>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较上年支出数减少1.14万元，下降24.6%，主要原因是</w:t>
      </w:r>
      <w:r>
        <w:rPr>
          <w:rFonts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sz w:val="32"/>
          <w:szCs w:val="32"/>
          <w:highlight w:val="none"/>
          <w:shd w:val="clear" w:color="auto" w:fill="FFFFFF"/>
          <w:lang w:val="en-US" w:eastAsia="zh-CN"/>
        </w:rPr>
        <w:t>厉行节约，压减公务接待支出，故“三公”经费支出下降24.6%。</w:t>
      </w:r>
    </w:p>
    <w:p>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w:t>
      </w:r>
      <w:r>
        <w:rPr>
          <w:rFonts w:hint="eastAsia" w:ascii="方正仿宋_GBK" w:hAnsi="方正仿宋_GBK" w:eastAsia="方正仿宋_GBK" w:cs="方正仿宋_GBK"/>
          <w:sz w:val="32"/>
          <w:szCs w:val="32"/>
          <w:highlight w:val="none"/>
          <w:shd w:val="clear" w:color="auto" w:fill="FFFFFF"/>
          <w:lang w:val="en-US" w:eastAsia="zh-CN"/>
        </w:rPr>
        <w:t>未发生</w:t>
      </w:r>
      <w:r>
        <w:rPr>
          <w:rFonts w:ascii="方正仿宋_GBK" w:hAnsi="方正仿宋_GBK" w:eastAsia="方正仿宋_GBK" w:cs="方正仿宋_GBK"/>
          <w:sz w:val="32"/>
          <w:szCs w:val="32"/>
          <w:highlight w:val="none"/>
          <w:shd w:val="clear" w:color="auto" w:fill="FFFFFF"/>
        </w:rPr>
        <w:t>因公出国（境）费用</w:t>
      </w:r>
      <w:r>
        <w:rPr>
          <w:rFonts w:hint="eastAsia" w:ascii="方正仿宋_GBK" w:hAnsi="方正仿宋_GBK" w:eastAsia="方正仿宋_GBK" w:cs="方正仿宋_GBK"/>
          <w:sz w:val="32"/>
          <w:szCs w:val="32"/>
          <w:highlight w:val="none"/>
          <w:shd w:val="clear" w:color="auto" w:fill="FFFFFF"/>
          <w:lang w:val="en-US" w:eastAsia="zh-CN"/>
        </w:rPr>
        <w:t>与</w:t>
      </w:r>
      <w:r>
        <w:rPr>
          <w:rFonts w:ascii="方正仿宋_GBK" w:hAnsi="方正仿宋_GBK" w:eastAsia="方正仿宋_GBK" w:cs="方正仿宋_GBK"/>
          <w:sz w:val="32"/>
          <w:szCs w:val="32"/>
          <w:highlight w:val="none"/>
          <w:shd w:val="clear" w:color="auto" w:fill="FFFFFF"/>
        </w:rPr>
        <w:t>公务车购置费</w:t>
      </w:r>
      <w:r>
        <w:rPr>
          <w:rFonts w:hint="eastAsia" w:ascii="方正仿宋_GBK" w:hAnsi="方正仿宋_GBK" w:eastAsia="方正仿宋_GBK" w:cs="方正仿宋_GBK"/>
          <w:sz w:val="32"/>
          <w:szCs w:val="32"/>
          <w:highlight w:val="none"/>
          <w:lang w:eastAsia="zh-CN"/>
        </w:rPr>
        <w:t>。</w:t>
      </w:r>
      <w:r>
        <w:rPr>
          <w:rFonts w:ascii="方正仿宋_GBK" w:hAnsi="方正仿宋_GBK" w:eastAsia="方正仿宋_GBK" w:cs="方正仿宋_GBK"/>
          <w:sz w:val="32"/>
          <w:szCs w:val="32"/>
          <w:highlight w:val="none"/>
          <w:shd w:val="clear" w:color="auto" w:fill="FFFFFF"/>
        </w:rPr>
        <w:t>费用支出较年初预算数无增减</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支出数较上年无增减</w:t>
      </w:r>
      <w:r>
        <w:rPr>
          <w:rFonts w:hint="eastAsia" w:ascii="方正仿宋_GBK" w:hAnsi="方正仿宋_GBK" w:eastAsia="方正仿宋_GBK" w:cs="方正仿宋_GBK"/>
          <w:sz w:val="32"/>
          <w:szCs w:val="32"/>
          <w:highlight w:val="none"/>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cs="Times New Roman"/>
          <w:sz w:val="32"/>
          <w:szCs w:val="32"/>
        </w:rPr>
        <w:t>燃油费、维修维护费、过路费及保险费等</w:t>
      </w:r>
      <w:r>
        <w:rPr>
          <w:rFonts w:hint="eastAsia" w:ascii="Times New Roman" w:hAnsi="Times New Roman" w:eastAsia="方正仿宋_GBK" w:cs="Times New Roman"/>
          <w:sz w:val="32"/>
          <w:szCs w:val="32"/>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较上年支出数减少0.50万元，下降12.5%，主要原因是</w:t>
      </w:r>
      <w:r>
        <w:rPr>
          <w:rFonts w:hint="eastAsia" w:ascii="方正仿宋_GBK" w:hAnsi="方正仿宋_GBK" w:eastAsia="方正仿宋_GBK" w:cs="方正仿宋_GBK"/>
          <w:sz w:val="32"/>
          <w:szCs w:val="32"/>
          <w:highlight w:val="none"/>
          <w:shd w:val="clear" w:color="auto" w:fill="FFFFFF"/>
          <w:lang w:val="en-US" w:eastAsia="zh-CN"/>
        </w:rPr>
        <w:t>厉行节约，压减开支。</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较上年支出数减少0.64万元，下降100.0%，主要原因是</w:t>
      </w:r>
      <w:r>
        <w:rPr>
          <w:rFonts w:hint="eastAsia" w:ascii="方正仿宋_GBK" w:hAnsi="方正仿宋_GBK" w:eastAsia="方正仿宋_GBK" w:cs="方正仿宋_GBK"/>
          <w:sz w:val="32"/>
          <w:szCs w:val="32"/>
          <w:highlight w:val="none"/>
          <w:shd w:val="clear" w:color="auto" w:fill="FFFFFF"/>
          <w:lang w:val="en-US" w:eastAsia="zh-CN"/>
        </w:rPr>
        <w:t>厉行节约，压减开支。</w:t>
      </w:r>
    </w:p>
    <w:p>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val="0"/>
        <w:shd w:val="clear" w:color="auto"/>
        <w:kinsoku/>
        <w:wordWrap/>
        <w:overflowPunct/>
        <w:topLinePunct w:val="0"/>
        <w:autoSpaceDE/>
        <w:autoSpaceDN/>
        <w:bidi w:val="0"/>
        <w:adjustRightInd/>
        <w:snapToGrid w:val="0"/>
        <w:spacing w:beforeAutospacing="0" w:afterAutospacing="0" w:line="594"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0.20</w:t>
      </w:r>
      <w:r>
        <w:rPr>
          <w:rFonts w:ascii="方正仿宋_GBK" w:hAnsi="方正仿宋_GBK" w:eastAsia="方正仿宋_GBK" w:cs="方正仿宋_GBK"/>
          <w:sz w:val="32"/>
          <w:szCs w:val="32"/>
          <w:shd w:val="clear" w:color="auto" w:fill="FFFFFF"/>
        </w:rPr>
        <w:t>万元，与2023年度相比，减少0.30万元，下降60.0%，主要原因是</w:t>
      </w:r>
      <w:r>
        <w:rPr>
          <w:rFonts w:hint="eastAsia" w:ascii="方正仿宋_GBK" w:hAnsi="方正仿宋_GBK" w:eastAsia="方正仿宋_GBK" w:cs="方正仿宋_GBK"/>
          <w:sz w:val="32"/>
          <w:szCs w:val="32"/>
          <w:highlight w:val="none"/>
          <w:shd w:val="clear" w:color="auto" w:fill="FFFFFF"/>
          <w:lang w:val="en-US" w:eastAsia="zh-CN"/>
        </w:rPr>
        <w:t>厉行节约，减少会议费用支出</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万元，与2023年度相比，减少2.76万元，下降100.0%，主要原因是</w:t>
      </w:r>
      <w:r>
        <w:rPr>
          <w:rFonts w:hint="eastAsia" w:ascii="方正仿宋_GBK" w:hAnsi="方正仿宋_GBK" w:eastAsia="方正仿宋_GBK" w:cs="方正仿宋_GBK"/>
          <w:sz w:val="32"/>
          <w:szCs w:val="32"/>
          <w:highlight w:val="none"/>
          <w:shd w:val="clear" w:color="auto" w:fill="FFFFFF"/>
          <w:lang w:val="en-US" w:eastAsia="zh-CN"/>
        </w:rPr>
        <w:t>厉行节约，减少培训费用支出</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37.12</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highlight w:val="none"/>
          <w:shd w:val="clear" w:color="auto" w:fill="FFFFFF"/>
          <w:lang w:val="en-US" w:eastAsia="zh-CN"/>
        </w:rPr>
        <w:t>办公费、水电费、差旅费、工会经费、其他交通费用等。</w:t>
      </w:r>
      <w:r>
        <w:rPr>
          <w:rFonts w:ascii="方正仿宋_GBK" w:hAnsi="方正仿宋_GBK" w:eastAsia="方正仿宋_GBK" w:cs="方正仿宋_GBK"/>
          <w:sz w:val="32"/>
          <w:szCs w:val="32"/>
          <w:shd w:val="clear" w:color="auto" w:fill="FFFFFF"/>
        </w:rPr>
        <w:t>机关运行经费较上年支出数减少9.06万元，下降19.6%，主要原因是</w:t>
      </w:r>
      <w:r>
        <w:rPr>
          <w:rFonts w:hint="eastAsia" w:ascii="方正仿宋_GBK" w:hAnsi="方正仿宋_GBK" w:eastAsia="方正仿宋_GBK" w:cs="方正仿宋_GBK"/>
          <w:sz w:val="32"/>
          <w:szCs w:val="32"/>
          <w:lang w:val="en-US" w:eastAsia="zh-CN"/>
        </w:rPr>
        <w:t>本年度下属事业单位巫溪县工业园区企业服务中心单独进行核算，人员经费以事业单位标准核定，故机关运行经费下降19.6%。</w:t>
      </w:r>
    </w:p>
    <w:p>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shd w:val="clear" w:color="auto" w:fill="FFFFFF"/>
          <w:lang w:val="en-US" w:eastAsia="zh-CN"/>
        </w:rPr>
        <w:t>为</w:t>
      </w:r>
      <w:r>
        <w:rPr>
          <w:rFonts w:ascii="方正仿宋_GBK" w:hAnsi="方正仿宋_GBK" w:eastAsia="方正仿宋_GBK" w:cs="方正仿宋_GBK"/>
          <w:sz w:val="32"/>
          <w:szCs w:val="32"/>
          <w:shd w:val="clear" w:color="auto" w:fill="FFFFFF"/>
        </w:rPr>
        <w:t>应急保障用车辆。单价100万元（含）以上专用设备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val="en-US" w:eastAsia="zh-CN"/>
        </w:rPr>
        <w:t>本部门</w:t>
      </w:r>
      <w:r>
        <w:rPr>
          <w:rFonts w:ascii="方正仿宋_GBK" w:hAnsi="方正仿宋_GBK" w:eastAsia="方正仿宋_GBK" w:cs="方正仿宋_GBK"/>
          <w:color w:val="auto"/>
          <w:sz w:val="32"/>
          <w:szCs w:val="32"/>
          <w:shd w:val="clear" w:color="auto" w:fill="FFFFFF"/>
        </w:rPr>
        <w:t>未发生政府采购事项，无相关经费支出。</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94"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方正仿宋_GBK" w:hAnsi="方正仿宋_GBK" w:eastAsia="方正仿宋_GBK" w:cs="方正仿宋_GBK"/>
          <w:kern w:val="0"/>
          <w:sz w:val="32"/>
          <w:szCs w:val="32"/>
          <w:shd w:val="clear" w:fill="FFFFFF"/>
          <w:lang w:val="en-US" w:eastAsia="zh-CN"/>
        </w:rPr>
        <w:t>3</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highlight w:val="none"/>
          <w:shd w:val="clear" w:fill="FFFFFF"/>
          <w:lang w:val="en-US" w:eastAsia="zh-CN"/>
        </w:rPr>
        <w:t>2058.1</w:t>
      </w:r>
      <w:r>
        <w:rPr>
          <w:rFonts w:hint="eastAsia" w:ascii="方正仿宋_GBK" w:hAnsi="方正仿宋_GBK" w:eastAsia="方正仿宋_GBK" w:cs="方正仿宋_GBK"/>
          <w:kern w:val="0"/>
          <w:sz w:val="32"/>
          <w:szCs w:val="32"/>
          <w:shd w:val="clear" w:fill="FFFFFF"/>
        </w:rPr>
        <w:t>万元</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2" w:firstLineChars="200"/>
        <w:jc w:val="left"/>
        <w:textAlignment w:val="auto"/>
        <w:rPr>
          <w:rFonts w:hint="default" w:ascii="方正仿宋_GBK" w:hAnsi="方正仿宋_GBK" w:eastAsia="方正仿宋_GBK" w:cs="方正仿宋_GBK"/>
          <w:b w:val="0"/>
          <w:bCs w:val="0"/>
          <w:kern w:val="0"/>
          <w:sz w:val="32"/>
          <w:szCs w:val="32"/>
          <w:highlight w:val="yellow"/>
          <w:shd w:val="clear" w:fill="FFFFFF"/>
          <w:lang w:val="en-US"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bookmarkStart w:id="0" w:name="_GoBack"/>
      <w:bookmarkEnd w:id="0"/>
    </w:p>
    <w:tbl>
      <w:tblPr>
        <w:tblStyle w:val="6"/>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630"/>
        <w:gridCol w:w="645"/>
        <w:gridCol w:w="795"/>
        <w:gridCol w:w="735"/>
        <w:gridCol w:w="810"/>
        <w:gridCol w:w="825"/>
        <w:gridCol w:w="690"/>
        <w:gridCol w:w="808"/>
        <w:gridCol w:w="930"/>
        <w:gridCol w:w="1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1" w:hRule="atLeast"/>
        </w:trPr>
        <w:tc>
          <w:tcPr>
            <w:tcW w:w="8940" w:type="dxa"/>
            <w:gridSpan w:val="11"/>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微软雅黑" w:hAnsi="微软雅黑" w:eastAsia="微软雅黑"/>
                <w:b/>
                <w:color w:val="000000"/>
                <w:sz w:val="40"/>
                <w:szCs w:val="24"/>
              </w:rPr>
            </w:pPr>
            <w:r>
              <w:rPr>
                <w:rFonts w:hint="eastAsia" w:ascii="微软雅黑" w:hAnsi="微软雅黑" w:eastAsia="微软雅黑"/>
                <w:b/>
                <w:color w:val="000000"/>
                <w:sz w:val="40"/>
                <w:szCs w:val="24"/>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5" w:hRule="atLeast"/>
        </w:trPr>
        <w:tc>
          <w:tcPr>
            <w:tcW w:w="8940" w:type="dxa"/>
            <w:gridSpan w:val="11"/>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right"/>
              <w:textAlignment w:val="auto"/>
              <w:rPr>
                <w:rFonts w:hint="eastAsia" w:ascii="宋体" w:hAnsi="宋体"/>
                <w:b/>
                <w:color w:val="FF0000"/>
                <w:sz w:val="20"/>
                <w:szCs w:val="24"/>
              </w:rPr>
            </w:pPr>
            <w:r>
              <w:rPr>
                <w:rFonts w:hint="eastAsia" w:ascii="宋体" w:hAnsi="宋体"/>
                <w:b/>
                <w:color w:val="FF0000"/>
                <w:sz w:val="20"/>
                <w:szCs w:val="24"/>
              </w:rPr>
              <w:t>状态：已送审</w:t>
            </w:r>
            <w:r>
              <w:rPr>
                <w:rFonts w:hint="eastAsia" w:cs="宋体"/>
                <w:b/>
                <w:bCs/>
                <w:i w:val="0"/>
                <w:iCs w:val="0"/>
                <w:color w:val="auto"/>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trPr>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jc w:val="both"/>
              <w:textAlignment w:val="auto"/>
              <w:rPr>
                <w:rFonts w:hint="eastAsia" w:ascii="宋体" w:hAnsi="宋体"/>
                <w:b/>
                <w:color w:val="000000"/>
                <w:sz w:val="20"/>
                <w:szCs w:val="24"/>
              </w:rPr>
            </w:pPr>
            <w:r>
              <w:rPr>
                <w:rFonts w:hint="eastAsia" w:ascii="宋体" w:hAnsi="宋体"/>
                <w:b/>
                <w:color w:val="000000"/>
                <w:sz w:val="20"/>
                <w:szCs w:val="24"/>
              </w:rPr>
              <w:t>项目名称：</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jc w:val="both"/>
              <w:textAlignment w:val="auto"/>
              <w:rPr>
                <w:rFonts w:hint="eastAsia" w:ascii="宋体" w:hAnsi="宋体"/>
                <w:color w:val="000000"/>
                <w:sz w:val="20"/>
                <w:szCs w:val="24"/>
              </w:rPr>
            </w:pPr>
            <w:r>
              <w:rPr>
                <w:rFonts w:hint="eastAsia" w:ascii="宋体" w:hAnsi="宋体"/>
                <w:color w:val="000000"/>
                <w:sz w:val="20"/>
                <w:szCs w:val="24"/>
              </w:rPr>
              <w:t>重庆巫溪工业园区管理委员会整体监控</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jc w:val="both"/>
              <w:textAlignment w:val="auto"/>
              <w:rPr>
                <w:rFonts w:hint="eastAsia" w:ascii="宋体" w:hAnsi="宋体"/>
                <w:b/>
                <w:color w:val="000000"/>
                <w:sz w:val="20"/>
                <w:szCs w:val="24"/>
              </w:rPr>
            </w:pPr>
            <w:r>
              <w:rPr>
                <w:rFonts w:hint="eastAsia" w:ascii="宋体" w:hAnsi="宋体"/>
                <w:b/>
                <w:color w:val="000000"/>
                <w:sz w:val="20"/>
                <w:szCs w:val="24"/>
              </w:rPr>
              <w:t>项目编码：</w:t>
            </w:r>
          </w:p>
        </w:tc>
        <w:tc>
          <w:tcPr>
            <w:tcW w:w="15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jc w:val="both"/>
              <w:textAlignment w:val="auto"/>
              <w:rPr>
                <w:rFonts w:hint="eastAsia" w:ascii="宋体" w:hAnsi="宋体"/>
                <w:color w:val="000000"/>
                <w:sz w:val="20"/>
                <w:szCs w:val="24"/>
              </w:rPr>
            </w:pPr>
            <w:r>
              <w:rPr>
                <w:rFonts w:hint="eastAsia" w:ascii="宋体" w:hAnsi="宋体"/>
                <w:color w:val="000000"/>
                <w:sz w:val="20"/>
                <w:szCs w:val="24"/>
              </w:rPr>
              <w:t>50023800024P000026</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jc w:val="both"/>
              <w:textAlignment w:val="auto"/>
              <w:rPr>
                <w:rFonts w:hint="eastAsia" w:ascii="宋体" w:hAnsi="宋体"/>
                <w:b/>
                <w:color w:val="000000"/>
                <w:sz w:val="20"/>
                <w:szCs w:val="24"/>
              </w:rPr>
            </w:pPr>
            <w:r>
              <w:rPr>
                <w:rFonts w:hint="eastAsia" w:ascii="宋体" w:hAnsi="宋体"/>
                <w:b/>
                <w:color w:val="000000"/>
                <w:sz w:val="20"/>
                <w:szCs w:val="24"/>
              </w:rPr>
              <w:t>自评总分：</w:t>
            </w:r>
          </w:p>
        </w:tc>
        <w:tc>
          <w:tcPr>
            <w:tcW w:w="149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jc w:val="both"/>
              <w:textAlignment w:val="auto"/>
              <w:rPr>
                <w:rFonts w:hint="eastAsia" w:ascii="宋体" w:hAnsi="宋体"/>
                <w:color w:val="000000"/>
                <w:sz w:val="20"/>
                <w:szCs w:val="24"/>
              </w:rPr>
            </w:pPr>
            <w:r>
              <w:rPr>
                <w:rFonts w:hint="eastAsia" w:ascii="宋体" w:hAnsi="宋体"/>
                <w:color w:val="000000"/>
                <w:sz w:val="20"/>
                <w:szCs w:val="24"/>
              </w:rPr>
              <w:t>84.17</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jc w:val="both"/>
              <w:textAlignment w:val="auto"/>
              <w:rPr>
                <w:rFonts w:hint="eastAsia" w:ascii="宋体" w:hAnsi="宋体"/>
                <w:b/>
                <w:color w:val="000000"/>
                <w:sz w:val="20"/>
                <w:szCs w:val="24"/>
              </w:rPr>
            </w:pP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jc w:val="both"/>
              <w:textAlignment w:val="auto"/>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5" w:hRule="atLeast"/>
        </w:trPr>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b/>
                <w:color w:val="000000"/>
                <w:sz w:val="20"/>
                <w:szCs w:val="24"/>
              </w:rPr>
            </w:pPr>
            <w:r>
              <w:rPr>
                <w:rFonts w:hint="eastAsia" w:ascii="宋体" w:hAnsi="宋体"/>
                <w:b/>
                <w:color w:val="000000"/>
                <w:sz w:val="20"/>
                <w:szCs w:val="24"/>
              </w:rPr>
              <w:t>项目主管部门：</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重庆巫溪工业园区管理委员会</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b/>
                <w:color w:val="000000"/>
                <w:sz w:val="20"/>
                <w:szCs w:val="24"/>
              </w:rPr>
            </w:pPr>
            <w:r>
              <w:rPr>
                <w:rFonts w:hint="eastAsia" w:ascii="宋体" w:hAnsi="宋体"/>
                <w:b/>
                <w:color w:val="000000"/>
                <w:sz w:val="20"/>
                <w:szCs w:val="24"/>
              </w:rPr>
              <w:t>财政归口处室：</w:t>
            </w:r>
          </w:p>
        </w:tc>
        <w:tc>
          <w:tcPr>
            <w:tcW w:w="154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005-行财科</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b/>
                <w:color w:val="000000"/>
                <w:sz w:val="20"/>
                <w:szCs w:val="24"/>
              </w:rPr>
            </w:pPr>
            <w:r>
              <w:rPr>
                <w:rFonts w:hint="eastAsia" w:ascii="宋体" w:hAnsi="宋体"/>
                <w:b/>
                <w:color w:val="000000"/>
                <w:sz w:val="20"/>
                <w:szCs w:val="24"/>
              </w:rPr>
              <w:t>部门联系人：</w:t>
            </w:r>
          </w:p>
        </w:tc>
        <w:tc>
          <w:tcPr>
            <w:tcW w:w="149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夏雪燕</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b/>
                <w:color w:val="000000"/>
                <w:sz w:val="20"/>
                <w:szCs w:val="24"/>
              </w:rPr>
            </w:pPr>
            <w:r>
              <w:rPr>
                <w:rFonts w:hint="eastAsia" w:ascii="宋体" w:hAnsi="宋体"/>
                <w:b/>
                <w:color w:val="000000"/>
                <w:sz w:val="20"/>
                <w:szCs w:val="24"/>
              </w:rPr>
              <w:t>联系电话：</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15823582713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8940" w:type="dxa"/>
            <w:gridSpan w:val="11"/>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微软雅黑" w:hAnsi="微软雅黑" w:eastAsia="微软雅黑"/>
                <w:b/>
                <w:color w:val="808080"/>
                <w:sz w:val="20"/>
                <w:szCs w:val="24"/>
              </w:rPr>
            </w:pPr>
            <w:r>
              <w:rPr>
                <w:rFonts w:hint="eastAsia" w:ascii="微软雅黑" w:hAnsi="微软雅黑" w:eastAsia="微软雅黑"/>
                <w:b/>
                <w:color w:val="808080"/>
                <w:sz w:val="20"/>
                <w:szCs w:val="24"/>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5" w:hRule="atLeast"/>
        </w:trPr>
        <w:tc>
          <w:tcPr>
            <w:tcW w:w="169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p>
        </w:tc>
        <w:tc>
          <w:tcPr>
            <w:tcW w:w="14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年初预算数</w:t>
            </w:r>
          </w:p>
        </w:tc>
        <w:tc>
          <w:tcPr>
            <w:tcW w:w="154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全年（调整）预算数</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全年执行数</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执行率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b/>
                <w:color w:val="000000"/>
                <w:sz w:val="20"/>
                <w:szCs w:val="24"/>
              </w:rPr>
            </w:pPr>
            <w:r>
              <w:rPr>
                <w:rFonts w:hint="eastAsia" w:ascii="宋体" w:hAnsi="宋体"/>
                <w:b/>
                <w:color w:val="000000"/>
                <w:sz w:val="20"/>
                <w:szCs w:val="24"/>
              </w:rPr>
              <w:t>执</w:t>
            </w:r>
            <w:r>
              <w:rPr>
                <w:rFonts w:hint="eastAsia"/>
                <w:b/>
                <w:color w:val="000000"/>
                <w:sz w:val="20"/>
                <w:szCs w:val="24"/>
                <w:lang w:val="en-US" w:eastAsia="zh-CN"/>
              </w:rPr>
              <w:t>行</w:t>
            </w:r>
            <w:r>
              <w:rPr>
                <w:rFonts w:hint="eastAsia" w:ascii="宋体" w:hAnsi="宋体"/>
                <w:b/>
                <w:color w:val="000000"/>
                <w:sz w:val="20"/>
                <w:szCs w:val="24"/>
              </w:rPr>
              <w:t>率权重</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169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年度总金额</w:t>
            </w:r>
          </w:p>
        </w:tc>
        <w:tc>
          <w:tcPr>
            <w:tcW w:w="14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default" w:ascii="宋体" w:hAnsi="宋体" w:eastAsia="宋体"/>
                <w:color w:val="000000"/>
                <w:sz w:val="20"/>
                <w:szCs w:val="24"/>
                <w:lang w:val="en-US" w:eastAsia="zh-CN"/>
              </w:rPr>
            </w:pPr>
            <w:r>
              <w:rPr>
                <w:rFonts w:hint="eastAsia"/>
                <w:color w:val="000000"/>
                <w:sz w:val="20"/>
                <w:szCs w:val="24"/>
                <w:lang w:val="en-US" w:eastAsia="zh-CN"/>
              </w:rPr>
              <w:t>303.87</w:t>
            </w:r>
          </w:p>
        </w:tc>
        <w:tc>
          <w:tcPr>
            <w:tcW w:w="154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default" w:ascii="宋体" w:hAnsi="宋体" w:eastAsia="宋体"/>
                <w:color w:val="000000"/>
                <w:sz w:val="20"/>
                <w:szCs w:val="24"/>
                <w:lang w:val="en-US" w:eastAsia="zh-CN"/>
              </w:rPr>
            </w:pPr>
            <w:r>
              <w:rPr>
                <w:rFonts w:hint="eastAsia" w:ascii="宋体" w:hAnsi="宋体"/>
                <w:color w:val="000000"/>
                <w:sz w:val="20"/>
                <w:szCs w:val="24"/>
              </w:rPr>
              <w:t>4,646</w:t>
            </w:r>
            <w:r>
              <w:rPr>
                <w:rFonts w:hint="eastAsia"/>
                <w:color w:val="000000"/>
                <w:sz w:val="20"/>
                <w:szCs w:val="24"/>
                <w:lang w:val="en-US" w:eastAsia="zh-CN"/>
              </w:rPr>
              <w:t>.08</w:t>
            </w:r>
          </w:p>
        </w:tc>
        <w:tc>
          <w:tcPr>
            <w:tcW w:w="1515" w:type="dxa"/>
            <w:gridSpan w:val="2"/>
            <w:tcBorders>
              <w:top w:val="single" w:color="auto" w:sz="6" w:space="0"/>
              <w:left w:val="nil"/>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3,646</w:t>
            </w:r>
            <w:r>
              <w:rPr>
                <w:rFonts w:hint="eastAsia"/>
                <w:color w:val="000000"/>
                <w:sz w:val="20"/>
                <w:szCs w:val="24"/>
                <w:lang w:val="en-US" w:eastAsia="zh-CN"/>
              </w:rPr>
              <w:t>.08</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5" w:hRule="atLeast"/>
        </w:trPr>
        <w:tc>
          <w:tcPr>
            <w:tcW w:w="169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其中：财政拨款</w:t>
            </w:r>
          </w:p>
        </w:tc>
        <w:tc>
          <w:tcPr>
            <w:tcW w:w="14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color w:val="000000"/>
                <w:sz w:val="20"/>
                <w:szCs w:val="24"/>
                <w:lang w:val="en-US" w:eastAsia="zh-CN"/>
              </w:rPr>
              <w:t>303.87</w:t>
            </w:r>
          </w:p>
        </w:tc>
        <w:tc>
          <w:tcPr>
            <w:tcW w:w="154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4,646</w:t>
            </w:r>
            <w:r>
              <w:rPr>
                <w:rFonts w:hint="eastAsia"/>
                <w:color w:val="000000"/>
                <w:sz w:val="20"/>
                <w:szCs w:val="24"/>
                <w:lang w:val="en-US" w:eastAsia="zh-CN"/>
              </w:rPr>
              <w:t>.08</w:t>
            </w:r>
          </w:p>
        </w:tc>
        <w:tc>
          <w:tcPr>
            <w:tcW w:w="1515" w:type="dxa"/>
            <w:gridSpan w:val="2"/>
            <w:tcBorders>
              <w:top w:val="single" w:color="auto" w:sz="6" w:space="0"/>
              <w:left w:val="nil"/>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3,646</w:t>
            </w:r>
            <w:r>
              <w:rPr>
                <w:rFonts w:hint="eastAsia"/>
                <w:color w:val="000000"/>
                <w:sz w:val="20"/>
                <w:szCs w:val="24"/>
                <w:lang w:val="en-US" w:eastAsia="zh-CN"/>
              </w:rPr>
              <w:t>.08</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78.48</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10.00</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0" w:hRule="atLeast"/>
        </w:trPr>
        <w:tc>
          <w:tcPr>
            <w:tcW w:w="169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一般公共预算</w:t>
            </w:r>
          </w:p>
        </w:tc>
        <w:tc>
          <w:tcPr>
            <w:tcW w:w="14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color w:val="000000"/>
                <w:sz w:val="20"/>
                <w:szCs w:val="24"/>
                <w:lang w:val="en-US" w:eastAsia="zh-CN"/>
              </w:rPr>
              <w:t>303.87</w:t>
            </w:r>
          </w:p>
        </w:tc>
        <w:tc>
          <w:tcPr>
            <w:tcW w:w="154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4,646</w:t>
            </w:r>
            <w:r>
              <w:rPr>
                <w:rFonts w:hint="eastAsia"/>
                <w:color w:val="000000"/>
                <w:sz w:val="20"/>
                <w:szCs w:val="24"/>
                <w:lang w:val="en-US" w:eastAsia="zh-CN"/>
              </w:rPr>
              <w:t>.08</w:t>
            </w:r>
          </w:p>
        </w:tc>
        <w:tc>
          <w:tcPr>
            <w:tcW w:w="1515" w:type="dxa"/>
            <w:gridSpan w:val="2"/>
            <w:tcBorders>
              <w:top w:val="single" w:color="auto" w:sz="6" w:space="0"/>
              <w:left w:val="nil"/>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3,646</w:t>
            </w:r>
            <w:r>
              <w:rPr>
                <w:rFonts w:hint="eastAsia"/>
                <w:color w:val="000000"/>
                <w:sz w:val="20"/>
                <w:szCs w:val="24"/>
                <w:lang w:val="en-US" w:eastAsia="zh-CN"/>
              </w:rPr>
              <w:t>.08</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78.48</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8940" w:type="dxa"/>
            <w:gridSpan w:val="11"/>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微软雅黑" w:hAnsi="微软雅黑" w:eastAsia="微软雅黑"/>
                <w:b/>
                <w:color w:val="808080"/>
                <w:sz w:val="20"/>
                <w:szCs w:val="24"/>
              </w:rPr>
            </w:pPr>
            <w:r>
              <w:rPr>
                <w:rFonts w:hint="eastAsia" w:ascii="微软雅黑" w:hAnsi="微软雅黑" w:eastAsia="微软雅黑"/>
                <w:b/>
                <w:color w:val="808080"/>
                <w:sz w:val="20"/>
                <w:szCs w:val="24"/>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0" w:hRule="atLeast"/>
        </w:trPr>
        <w:tc>
          <w:tcPr>
            <w:tcW w:w="3135"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年初绩效目标</w:t>
            </w:r>
          </w:p>
        </w:tc>
        <w:tc>
          <w:tcPr>
            <w:tcW w:w="3060"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全年（调整）绩效目标</w:t>
            </w:r>
          </w:p>
        </w:tc>
        <w:tc>
          <w:tcPr>
            <w:tcW w:w="274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5" w:hRule="atLeast"/>
        </w:trPr>
        <w:tc>
          <w:tcPr>
            <w:tcW w:w="3135"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深入学习党的二十大精神，把党的二十大精神作为统领巫溪县工业园区高质量发展的总纲，不断提升企业服务水平，提升招商引资质效。</w:t>
            </w:r>
          </w:p>
        </w:tc>
        <w:tc>
          <w:tcPr>
            <w:tcW w:w="3060"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p>
        </w:tc>
        <w:tc>
          <w:tcPr>
            <w:tcW w:w="274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全年度规模以上企业增加1家，新增企业1家，年产值增加4.62%。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4" w:hRule="atLeast"/>
        </w:trPr>
        <w:tc>
          <w:tcPr>
            <w:tcW w:w="8940" w:type="dxa"/>
            <w:gridSpan w:val="11"/>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微软雅黑" w:hAnsi="微软雅黑" w:eastAsia="微软雅黑"/>
                <w:b/>
                <w:color w:val="808080"/>
                <w:sz w:val="20"/>
                <w:szCs w:val="24"/>
              </w:rPr>
            </w:pPr>
            <w:r>
              <w:rPr>
                <w:rFonts w:hint="eastAsia" w:ascii="微软雅黑" w:hAnsi="微软雅黑" w:eastAsia="微软雅黑"/>
                <w:b/>
                <w:color w:val="808080"/>
                <w:sz w:val="20"/>
                <w:szCs w:val="24"/>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指标名称</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计量单位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指标性质</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指标值</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全年完成值</w:t>
            </w:r>
          </w:p>
        </w:tc>
        <w:tc>
          <w:tcPr>
            <w:tcW w:w="81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偏离度（%）</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得分系数（%）</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指标权重</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指标得分</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是否核心指标</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规模以上企业增长率</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5</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6.1</w:t>
            </w:r>
          </w:p>
        </w:tc>
        <w:tc>
          <w:tcPr>
            <w:tcW w:w="81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22</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100</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20</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20</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是</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园区新增企业</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家</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1</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1</w:t>
            </w:r>
          </w:p>
        </w:tc>
        <w:tc>
          <w:tcPr>
            <w:tcW w:w="81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0</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100</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20</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20</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是</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园区整体工作完成率</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85</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90</w:t>
            </w:r>
          </w:p>
        </w:tc>
        <w:tc>
          <w:tcPr>
            <w:tcW w:w="81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5.88</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100</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20</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20</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是</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园区年产值增长率</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5</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4.62</w:t>
            </w:r>
          </w:p>
        </w:tc>
        <w:tc>
          <w:tcPr>
            <w:tcW w:w="81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7.6</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24</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20</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4.8</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是</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园区企业满意度</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85</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85</w:t>
            </w:r>
          </w:p>
        </w:tc>
        <w:tc>
          <w:tcPr>
            <w:tcW w:w="81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0</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100</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20</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20</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是</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p>
        </w:tc>
      </w:tr>
    </w:tbl>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jc w:val="left"/>
        <w:textAlignment w:val="auto"/>
        <w:rPr>
          <w:rFonts w:hint="default" w:ascii="方正仿宋_GBK" w:hAnsi="方正仿宋_GBK" w:eastAsia="方正仿宋_GBK" w:cs="方正仿宋_GBK"/>
          <w:b w:val="0"/>
          <w:bCs w:val="0"/>
          <w:kern w:val="0"/>
          <w:sz w:val="32"/>
          <w:szCs w:val="32"/>
          <w:highlight w:val="yellow"/>
          <w:shd w:val="clear" w:fill="FFFFFF"/>
          <w:lang w:val="en-US" w:eastAsia="zh-CN"/>
        </w:rPr>
      </w:pP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2"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888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3"/>
        <w:gridCol w:w="713"/>
        <w:gridCol w:w="664"/>
        <w:gridCol w:w="915"/>
        <w:gridCol w:w="735"/>
        <w:gridCol w:w="765"/>
        <w:gridCol w:w="900"/>
        <w:gridCol w:w="216"/>
        <w:gridCol w:w="564"/>
        <w:gridCol w:w="675"/>
        <w:gridCol w:w="870"/>
        <w:gridCol w:w="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888"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8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default" w:ascii="宋体" w:hAnsi="宋体" w:eastAsia="宋体" w:cs="宋体"/>
                <w:b/>
                <w:bCs/>
                <w:i w:val="0"/>
                <w:iCs w:val="0"/>
                <w:color w:val="DA3232"/>
                <w:sz w:val="20"/>
                <w:szCs w:val="20"/>
                <w:u w:val="none"/>
                <w:lang w:val="en-US"/>
              </w:rPr>
            </w:pPr>
            <w:r>
              <w:rPr>
                <w:rFonts w:hint="eastAsia" w:ascii="宋体" w:hAnsi="宋体" w:eastAsia="宋体" w:cs="宋体"/>
                <w:b/>
                <w:bCs/>
                <w:i w:val="0"/>
                <w:iCs w:val="0"/>
                <w:color w:val="DA3232"/>
                <w:kern w:val="0"/>
                <w:sz w:val="20"/>
                <w:szCs w:val="20"/>
                <w:u w:val="none"/>
                <w:lang w:val="en-US" w:eastAsia="zh-CN" w:bidi="ar"/>
              </w:rPr>
              <w:t>状态：部门审核已审</w:t>
            </w:r>
            <w:r>
              <w:rPr>
                <w:rFonts w:hint="eastAsia" w:cs="宋体"/>
                <w:b/>
                <w:bCs/>
                <w:i w:val="0"/>
                <w:iCs w:val="0"/>
                <w:color w:val="auto"/>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巫溪县西洽会活动支出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50023825T000004568118</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20"/>
                <w:szCs w:val="20"/>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项目主管部门：</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026-重庆巫溪工业园区管理委员会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财政归口处室：</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005-行财科</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马祥飞</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13648362872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8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年度总金额</w:t>
            </w:r>
          </w:p>
        </w:tc>
        <w:tc>
          <w:tcPr>
            <w:tcW w:w="6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6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6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8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年初绩效目标</w:t>
            </w:r>
          </w:p>
        </w:tc>
        <w:tc>
          <w:tcPr>
            <w:tcW w:w="3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全年（调整）绩效目标</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trPr>
        <w:tc>
          <w:tcPr>
            <w:tcW w:w="32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顺利完成第六届西洽会参展活动，包括展台设计与搭建，产品展示等。</w:t>
            </w:r>
          </w:p>
        </w:tc>
        <w:tc>
          <w:tcPr>
            <w:tcW w:w="318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顺利完成第六届西洽会参展活动，包括展台设计与搭建，产品展示等。</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顺利完成第六届西洽会参展活动，包括展台设计与搭建，产品展示等。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8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cs="宋体"/>
                <w:b/>
                <w:bCs/>
                <w:i w:val="0"/>
                <w:iCs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租展馆场地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完成场馆设计及搭建服务</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6月底前完成参展任务</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提高巫溪特色产品知晓率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有所提高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接访观众满意度</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94"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pPr>
        <w:pStyle w:val="12"/>
        <w:keepNext w:val="0"/>
        <w:keepLines w:val="0"/>
        <w:pageBreakBefore w:val="0"/>
        <w:widowControl w:val="0"/>
        <w:kinsoku/>
        <w:wordWrap/>
        <w:overflowPunct/>
        <w:topLinePunct w:val="0"/>
        <w:autoSpaceDE w:val="0"/>
        <w:autoSpaceDN/>
        <w:bidi w:val="0"/>
        <w:adjustRightInd/>
        <w:snapToGrid w:val="0"/>
        <w:spacing w:beforeAutospacing="0" w:after="0" w:afterAutospacing="0" w:line="594"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无。</w:t>
      </w:r>
    </w:p>
    <w:p>
      <w:pPr>
        <w:pStyle w:val="12"/>
        <w:keepNext w:val="0"/>
        <w:keepLines w:val="0"/>
        <w:pageBreakBefore w:val="0"/>
        <w:widowControl w:val="0"/>
        <w:kinsoku/>
        <w:wordWrap/>
        <w:overflowPunct/>
        <w:topLinePunct w:val="0"/>
        <w:autoSpaceDE w:val="0"/>
        <w:autoSpaceDN/>
        <w:bidi w:val="0"/>
        <w:adjustRightInd/>
        <w:snapToGrid w:val="0"/>
        <w:spacing w:beforeAutospacing="0" w:after="0" w:afterAutospacing="0" w:line="594"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pPr>
        <w:pStyle w:val="12"/>
        <w:keepNext w:val="0"/>
        <w:keepLines w:val="0"/>
        <w:pageBreakBefore w:val="0"/>
        <w:widowControl w:val="0"/>
        <w:kinsoku/>
        <w:wordWrap/>
        <w:overflowPunct/>
        <w:topLinePunct w:val="0"/>
        <w:autoSpaceDE w:val="0"/>
        <w:autoSpaceDN/>
        <w:bidi w:val="0"/>
        <w:adjustRightInd/>
        <w:snapToGrid w:val="0"/>
        <w:spacing w:beforeAutospacing="0" w:after="0" w:afterAutospacing="0" w:line="594"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无。</w:t>
      </w:r>
    </w:p>
    <w:p>
      <w:pPr>
        <w:pStyle w:val="10"/>
        <w:keepNext w:val="0"/>
        <w:keepLines w:val="0"/>
        <w:pageBreakBefore w:val="0"/>
        <w:widowControl w:val="0"/>
        <w:kinsoku/>
        <w:wordWrap/>
        <w:overflowPunct/>
        <w:topLinePunct w:val="0"/>
        <w:autoSpaceDE w:val="0"/>
        <w:autoSpaceDN/>
        <w:bidi w:val="0"/>
        <w:adjustRightInd/>
        <w:snapToGrid w:val="0"/>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Style w:val="8"/>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r>
        <w:rPr>
          <w:rFonts w:hint="eastAsia" w:ascii="方正仿宋_GBK" w:hAnsi="方正仿宋_GBK" w:eastAsia="方正仿宋_GBK" w:cs="方正仿宋_GBK"/>
          <w:kern w:val="0"/>
          <w:sz w:val="32"/>
          <w:szCs w:val="32"/>
          <w:shd w:val="clear" w:fill="FFFFFF"/>
          <w:lang w:eastAsia="zh-CN"/>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51531063</w:t>
      </w:r>
    </w:p>
    <w:p>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0"/>
        <w:jc w:val="both"/>
        <w:textAlignment w:val="auto"/>
        <w:rPr>
          <w:rStyle w:val="8"/>
          <w:rFonts w:ascii="方正仿宋_GBK" w:hAnsi="方正仿宋_GBK" w:eastAsia="方正仿宋_GBK" w:cs="方正仿宋_GBK"/>
          <w:sz w:val="32"/>
          <w:szCs w:val="32"/>
          <w:shd w:val="clear" w:color="auto" w:fill="FFFF00"/>
        </w:rPr>
      </w:pPr>
    </w:p>
    <w:p>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left="0" w:leftChars="0" w:firstLine="0" w:firstLineChars="0"/>
        <w:jc w:val="both"/>
        <w:textAlignment w:val="auto"/>
        <w:rPr>
          <w:rStyle w:val="8"/>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重庆巫溪工业园区管理委员会</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345.38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2,446.08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2,446.08</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重庆巫溪工业园区管理委员会</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2,446.08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2,446.08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招商引资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重庆巫溪工业园区管理委员会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2,446.08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387.98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2,058.10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招商引资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重庆巫溪工业园区管理委员会</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重庆巫溪工业园区管理委员会</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2,446.08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387.98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2,058.10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2,446.08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387.98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2,058.10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商贸事务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招商引资</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32.78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32.78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重庆巫溪工业园区管理委员会</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325.96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54.87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72.26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24.43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56.11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32.78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17.86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0.05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9.51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333.11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54.87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重庆巫溪工业园区管理委员会</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重庆巫溪工业园区管理委员会</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重庆巫溪工业园区管理委员会</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0.20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5.98</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172A27"/>
    <w:rsid w:val="000D7BCC"/>
    <w:rsid w:val="00541643"/>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1B6C4C"/>
    <w:rsid w:val="098305D0"/>
    <w:rsid w:val="09B72B6E"/>
    <w:rsid w:val="0A0C7F04"/>
    <w:rsid w:val="0A227275"/>
    <w:rsid w:val="0A5C4B69"/>
    <w:rsid w:val="0AEF4ADD"/>
    <w:rsid w:val="0B9335CE"/>
    <w:rsid w:val="0BA10C97"/>
    <w:rsid w:val="0C554661"/>
    <w:rsid w:val="0C7927C4"/>
    <w:rsid w:val="0C9B098C"/>
    <w:rsid w:val="0CD7229F"/>
    <w:rsid w:val="0CE80A8F"/>
    <w:rsid w:val="0D447AFA"/>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0A5EE2"/>
    <w:rsid w:val="137A4688"/>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AB52760"/>
    <w:rsid w:val="1B501DE7"/>
    <w:rsid w:val="1B6F15B6"/>
    <w:rsid w:val="1BAA2EDC"/>
    <w:rsid w:val="1BBC37D7"/>
    <w:rsid w:val="1CE157EE"/>
    <w:rsid w:val="1D014A01"/>
    <w:rsid w:val="1D022362"/>
    <w:rsid w:val="1D091B60"/>
    <w:rsid w:val="1D3C279E"/>
    <w:rsid w:val="1D794AE5"/>
    <w:rsid w:val="1DD26311"/>
    <w:rsid w:val="1DE57DAF"/>
    <w:rsid w:val="1EF67CA4"/>
    <w:rsid w:val="1F213FD9"/>
    <w:rsid w:val="1FCD26AF"/>
    <w:rsid w:val="20642787"/>
    <w:rsid w:val="20C83310"/>
    <w:rsid w:val="20EC77A3"/>
    <w:rsid w:val="213B5C8C"/>
    <w:rsid w:val="21556F04"/>
    <w:rsid w:val="22403BD3"/>
    <w:rsid w:val="244A0B61"/>
    <w:rsid w:val="248B003B"/>
    <w:rsid w:val="24B92327"/>
    <w:rsid w:val="24DB2B05"/>
    <w:rsid w:val="2533755C"/>
    <w:rsid w:val="26396DF4"/>
    <w:rsid w:val="266B763B"/>
    <w:rsid w:val="27167136"/>
    <w:rsid w:val="27B23302"/>
    <w:rsid w:val="27D424D7"/>
    <w:rsid w:val="285722C3"/>
    <w:rsid w:val="28CE6776"/>
    <w:rsid w:val="28DC1FF8"/>
    <w:rsid w:val="29183CAB"/>
    <w:rsid w:val="29310A5F"/>
    <w:rsid w:val="29C37A35"/>
    <w:rsid w:val="2A076083"/>
    <w:rsid w:val="2A306CA5"/>
    <w:rsid w:val="2A73162E"/>
    <w:rsid w:val="2AFA2E94"/>
    <w:rsid w:val="2B167953"/>
    <w:rsid w:val="2B200583"/>
    <w:rsid w:val="2B8209DE"/>
    <w:rsid w:val="2C6762A3"/>
    <w:rsid w:val="2D5F4C37"/>
    <w:rsid w:val="2FE029D7"/>
    <w:rsid w:val="2FF06E00"/>
    <w:rsid w:val="30A87D63"/>
    <w:rsid w:val="315F0B22"/>
    <w:rsid w:val="31BE24D6"/>
    <w:rsid w:val="31D84415"/>
    <w:rsid w:val="32285F6F"/>
    <w:rsid w:val="32770556"/>
    <w:rsid w:val="329C0913"/>
    <w:rsid w:val="3337290D"/>
    <w:rsid w:val="352930DB"/>
    <w:rsid w:val="35573069"/>
    <w:rsid w:val="355A17E5"/>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315C0"/>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B5687D"/>
    <w:rsid w:val="49C811E4"/>
    <w:rsid w:val="4A216E30"/>
    <w:rsid w:val="4B7951CB"/>
    <w:rsid w:val="4B7C315C"/>
    <w:rsid w:val="4B9300D7"/>
    <w:rsid w:val="4BAB7F90"/>
    <w:rsid w:val="4BD53EDA"/>
    <w:rsid w:val="4BE11807"/>
    <w:rsid w:val="4C484CE5"/>
    <w:rsid w:val="4C686939"/>
    <w:rsid w:val="4DAC4ACA"/>
    <w:rsid w:val="4DD06F63"/>
    <w:rsid w:val="4E043596"/>
    <w:rsid w:val="4EA8523F"/>
    <w:rsid w:val="4F186D58"/>
    <w:rsid w:val="4F224836"/>
    <w:rsid w:val="4FF440AE"/>
    <w:rsid w:val="50117643"/>
    <w:rsid w:val="51760217"/>
    <w:rsid w:val="51E36677"/>
    <w:rsid w:val="522F6E0C"/>
    <w:rsid w:val="524252C6"/>
    <w:rsid w:val="52463BA1"/>
    <w:rsid w:val="529F078E"/>
    <w:rsid w:val="53C0244D"/>
    <w:rsid w:val="53DD4D4E"/>
    <w:rsid w:val="53E578CE"/>
    <w:rsid w:val="53EA10F5"/>
    <w:rsid w:val="543B029D"/>
    <w:rsid w:val="54977029"/>
    <w:rsid w:val="554E5773"/>
    <w:rsid w:val="555A3CBC"/>
    <w:rsid w:val="55CB0394"/>
    <w:rsid w:val="55EF4EA6"/>
    <w:rsid w:val="56530F5D"/>
    <w:rsid w:val="56EE372E"/>
    <w:rsid w:val="5842572D"/>
    <w:rsid w:val="598A28E2"/>
    <w:rsid w:val="5C1336B7"/>
    <w:rsid w:val="5C263CE4"/>
    <w:rsid w:val="5C5D2777"/>
    <w:rsid w:val="5C722D7F"/>
    <w:rsid w:val="5D290C69"/>
    <w:rsid w:val="5E963590"/>
    <w:rsid w:val="5EFA176D"/>
    <w:rsid w:val="5F0247F9"/>
    <w:rsid w:val="5F2D4A41"/>
    <w:rsid w:val="601C34ED"/>
    <w:rsid w:val="608F101D"/>
    <w:rsid w:val="60A511FB"/>
    <w:rsid w:val="61025A59"/>
    <w:rsid w:val="613D5BBC"/>
    <w:rsid w:val="61536C39"/>
    <w:rsid w:val="616D60F9"/>
    <w:rsid w:val="62217D1D"/>
    <w:rsid w:val="62944DD7"/>
    <w:rsid w:val="63497036"/>
    <w:rsid w:val="63C1619B"/>
    <w:rsid w:val="63C25DC5"/>
    <w:rsid w:val="63C62057"/>
    <w:rsid w:val="63C73832"/>
    <w:rsid w:val="64192A39"/>
    <w:rsid w:val="643F1D61"/>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5074B"/>
    <w:rsid w:val="6C560CAE"/>
    <w:rsid w:val="6CD15296"/>
    <w:rsid w:val="6D903FF5"/>
    <w:rsid w:val="6DA955B8"/>
    <w:rsid w:val="6DE346AB"/>
    <w:rsid w:val="6FFB2E76"/>
    <w:rsid w:val="70AB70D6"/>
    <w:rsid w:val="70DE5507"/>
    <w:rsid w:val="70ED50B2"/>
    <w:rsid w:val="718C12E2"/>
    <w:rsid w:val="71C34D91"/>
    <w:rsid w:val="71ED38AA"/>
    <w:rsid w:val="72DB435C"/>
    <w:rsid w:val="74ED1B1B"/>
    <w:rsid w:val="750837F0"/>
    <w:rsid w:val="75A17997"/>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E1C016D"/>
    <w:rsid w:val="7EAE4BA1"/>
    <w:rsid w:val="7FEDA5BA"/>
    <w:rsid w:val="7FF723E4"/>
    <w:rsid w:val="FFEF9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2</TotalTime>
  <ScaleCrop>false</ScaleCrop>
  <LinksUpToDate>false</LinksUpToDate>
  <CharactersWithSpaces>21460</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uos</cp:lastModifiedBy>
  <dcterms:modified xsi:type="dcterms:W3CDTF">2025-09-17T16:49:42Z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BB46EABDBB2749749395447164B066B3_12</vt:lpwstr>
  </property>
</Properties>
</file>