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hd w:val="clear"/>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巫溪县工业园区企业服务中心</w:t>
      </w:r>
    </w:p>
    <w:p>
      <w:pPr>
        <w:pStyle w:val="7"/>
        <w:keepNext w:val="0"/>
        <w:keepLines w:val="0"/>
        <w:pageBreakBefore w:val="0"/>
        <w:widowControl w:val="0"/>
        <w:shd w:val="clear"/>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pPr>
        <w:pStyle w:val="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3" w:firstLineChars="200"/>
        <w:textAlignment w:val="auto"/>
        <w:rPr>
          <w:rStyle w:val="10"/>
          <w:rFonts w:ascii="黑体" w:hAnsi="黑体" w:eastAsia="黑体" w:cs="黑体"/>
          <w:sz w:val="32"/>
          <w:szCs w:val="32"/>
          <w:shd w:val="clear" w:color="auto" w:fill="FFFFFF"/>
        </w:rPr>
      </w:pPr>
    </w:p>
    <w:p>
      <w:pPr>
        <w:pStyle w:val="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pPr>
        <w:pStyle w:val="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eastAsia" w:ascii="方正楷体_GBK" w:hAnsi="方正楷体_GBK" w:eastAsia="方正楷体_GBK" w:cs="方正楷体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（一）职能职责</w:t>
      </w:r>
    </w:p>
    <w:p>
      <w:pPr>
        <w:pStyle w:val="7"/>
        <w:keepNext w:val="0"/>
        <w:keepLines w:val="0"/>
        <w:pageBreakBefore w:val="0"/>
        <w:widowControl w:val="0"/>
        <w:shd w:val="clear" w:color="auto"/>
        <w:kinsoku/>
        <w:wordWrap/>
        <w:overflowPunct/>
        <w:topLinePunct w:val="0"/>
        <w:autoSpaceDN/>
        <w:bidi w:val="0"/>
        <w:adjustRightInd w:val="0"/>
        <w:snapToGrid w:val="0"/>
        <w:spacing w:beforeAutospacing="0" w:afterAutospacing="0" w:line="594" w:lineRule="exact"/>
        <w:ind w:firstLine="640" w:firstLineChars="200"/>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（1）参与工业园区招商引资项目全程协调服务和园区企业运营后的服务工作。</w:t>
      </w:r>
    </w:p>
    <w:p>
      <w:pPr>
        <w:pStyle w:val="7"/>
        <w:keepNext w:val="0"/>
        <w:keepLines w:val="0"/>
        <w:pageBreakBefore w:val="0"/>
        <w:widowControl w:val="0"/>
        <w:shd w:val="clear" w:color="auto"/>
        <w:kinsoku/>
        <w:wordWrap/>
        <w:overflowPunct/>
        <w:topLinePunct w:val="0"/>
        <w:autoSpaceDN/>
        <w:bidi w:val="0"/>
        <w:adjustRightInd w:val="0"/>
        <w:snapToGrid w:val="0"/>
        <w:spacing w:beforeAutospacing="0" w:afterAutospacing="0" w:line="594" w:lineRule="exact"/>
        <w:ind w:firstLine="640" w:firstLineChars="200"/>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（2）负责协调解决工业园区企业推进中遇到的各种问题和困难。</w:t>
      </w:r>
    </w:p>
    <w:p>
      <w:pPr>
        <w:pStyle w:val="7"/>
        <w:keepNext w:val="0"/>
        <w:keepLines w:val="0"/>
        <w:pageBreakBefore w:val="0"/>
        <w:widowControl w:val="0"/>
        <w:shd w:val="clear" w:color="auto"/>
        <w:kinsoku/>
        <w:wordWrap/>
        <w:overflowPunct/>
        <w:topLinePunct w:val="0"/>
        <w:autoSpaceDN/>
        <w:bidi w:val="0"/>
        <w:adjustRightInd w:val="0"/>
        <w:snapToGrid w:val="0"/>
        <w:spacing w:beforeAutospacing="0" w:afterAutospacing="0" w:line="594" w:lineRule="exact"/>
        <w:ind w:firstLine="640" w:firstLineChars="200"/>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（3）依据产业规划和政策，加强与职能部门的联系和沟通，做好工业园区企业服务与协调工作，协助园区企业解决生产经营中出现的问题，促进园区企业发展壮大。</w:t>
      </w:r>
    </w:p>
    <w:p>
      <w:pPr>
        <w:pStyle w:val="7"/>
        <w:keepNext w:val="0"/>
        <w:keepLines w:val="0"/>
        <w:pageBreakBefore w:val="0"/>
        <w:widowControl w:val="0"/>
        <w:shd w:val="clear" w:color="auto"/>
        <w:kinsoku/>
        <w:wordWrap/>
        <w:overflowPunct/>
        <w:topLinePunct w:val="0"/>
        <w:autoSpaceDN/>
        <w:bidi w:val="0"/>
        <w:adjustRightInd w:val="0"/>
        <w:snapToGrid w:val="0"/>
        <w:spacing w:beforeAutospacing="0" w:afterAutospacing="0" w:line="594" w:lineRule="exact"/>
        <w:ind w:firstLine="640" w:firstLineChars="200"/>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（4）协助按有关规定办理园区企业统计登记及工商、税务等相关证照办理工作。</w:t>
      </w:r>
    </w:p>
    <w:p>
      <w:pPr>
        <w:pStyle w:val="7"/>
        <w:keepNext w:val="0"/>
        <w:keepLines w:val="0"/>
        <w:pageBreakBefore w:val="0"/>
        <w:widowControl w:val="0"/>
        <w:shd w:val="clear" w:color="auto"/>
        <w:kinsoku/>
        <w:wordWrap/>
        <w:overflowPunct/>
        <w:topLinePunct w:val="0"/>
        <w:autoSpaceDN/>
        <w:bidi w:val="0"/>
        <w:adjustRightInd w:val="0"/>
        <w:snapToGrid w:val="0"/>
        <w:spacing w:beforeAutospacing="0" w:afterAutospacing="0" w:line="594" w:lineRule="exact"/>
        <w:ind w:firstLine="640" w:firstLineChars="200"/>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（5）负责园区企业经济运行情况分析、调研和预测，对运行情况进行准确、及时、全面的统计和监控；按时上报各类统计报表。</w:t>
      </w:r>
    </w:p>
    <w:p>
      <w:pPr>
        <w:pStyle w:val="7"/>
        <w:keepNext w:val="0"/>
        <w:keepLines w:val="0"/>
        <w:pageBreakBefore w:val="0"/>
        <w:widowControl w:val="0"/>
        <w:shd w:val="clear" w:color="auto"/>
        <w:kinsoku/>
        <w:wordWrap/>
        <w:overflowPunct/>
        <w:topLinePunct w:val="0"/>
        <w:autoSpaceDN/>
        <w:bidi w:val="0"/>
        <w:adjustRightInd w:val="0"/>
        <w:snapToGrid w:val="0"/>
        <w:spacing w:beforeAutospacing="0" w:afterAutospacing="0" w:line="594" w:lineRule="exact"/>
        <w:ind w:firstLine="640" w:firstLineChars="200"/>
        <w:textAlignment w:val="auto"/>
        <w:rPr>
          <w:rStyle w:val="10"/>
          <w:rFonts w:hint="eastAsia"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rPr>
        <w:t>（6）承担工业园区管委会交办的其他工作。</w:t>
      </w:r>
    </w:p>
    <w:p>
      <w:pPr>
        <w:pStyle w:val="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eastAsia" w:ascii="方正楷体_GBK" w:hAnsi="方正楷体_GBK" w:eastAsia="方正楷体_GBK" w:cs="方正楷体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（二）机构设置</w:t>
      </w:r>
    </w:p>
    <w:p>
      <w:pPr>
        <w:pStyle w:val="15"/>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巫溪县工业园区企业服务中心为正科级事业单位，事业编制10名，核定领导职数2名，其中主任1名、副主任1名。无内设机构。</w:t>
      </w:r>
    </w:p>
    <w:p>
      <w:pPr>
        <w:pStyle w:val="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594"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7"/>
        <w:keepNext w:val="0"/>
        <w:keepLines w:val="0"/>
        <w:pageBreakBefore w:val="0"/>
        <w:widowControl w:val="0"/>
        <w:shd w:val="clear" w:color="auto"/>
        <w:kinsoku/>
        <w:wordWrap/>
        <w:overflowPunct/>
        <w:topLinePunct w:val="0"/>
        <w:autoSpaceDN/>
        <w:bidi w:val="0"/>
        <w:adjustRightInd w:val="0"/>
        <w:snapToGrid w:val="0"/>
        <w:spacing w:beforeAutospacing="0" w:afterAutospacing="0" w:line="594" w:lineRule="exact"/>
        <w:ind w:firstLine="643" w:firstLineChars="200"/>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度收入总计145.60万元，支出总计</w:t>
      </w:r>
      <w:r>
        <w:rPr>
          <w:rFonts w:ascii="方正仿宋_GBK" w:hAnsi="方正仿宋_GBK" w:eastAsia="方正仿宋_GBK" w:cs="方正仿宋_GBK"/>
          <w:sz w:val="32"/>
          <w:szCs w:val="32"/>
        </w:rPr>
        <w:t>145.60</w:t>
      </w:r>
      <w:r>
        <w:rPr>
          <w:rFonts w:ascii="方正仿宋_GBK" w:hAnsi="方正仿宋_GBK" w:eastAsia="方正仿宋_GBK" w:cs="方正仿宋_GBK"/>
          <w:sz w:val="32"/>
          <w:szCs w:val="32"/>
          <w:shd w:val="clear" w:color="auto" w:fill="FFFFFF"/>
        </w:rPr>
        <w:t>万元。收、支与2023年度相比，增加145.60万元，增长100.0%，主要原因是</w:t>
      </w:r>
      <w:r>
        <w:rPr>
          <w:rFonts w:hint="eastAsia" w:ascii="方正仿宋_GBK" w:hAnsi="方正仿宋_GBK" w:eastAsia="方正仿宋_GBK" w:cs="方正仿宋_GBK"/>
          <w:sz w:val="32"/>
          <w:szCs w:val="32"/>
          <w:shd w:val="clear" w:color="auto" w:fill="FFFFFF"/>
        </w:rPr>
        <w:t>该单位为2024年新增单位，上年无指标，故增长100%。</w:t>
      </w:r>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度收入合计145.60万元，与2023年度相比，增加145.60万元，增长100.0%，主要原因是</w:t>
      </w:r>
      <w:r>
        <w:rPr>
          <w:rFonts w:hint="eastAsia" w:ascii="方正仿宋_GBK" w:hAnsi="方正仿宋_GBK" w:eastAsia="方正仿宋_GBK" w:cs="方正仿宋_GBK"/>
          <w:sz w:val="32"/>
          <w:szCs w:val="32"/>
          <w:shd w:val="clear" w:color="auto" w:fill="FFFFFF"/>
        </w:rPr>
        <w:t>该单位为2024年新增单位，上年无指标，故增长100%。</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145.60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145.60</w:t>
      </w:r>
      <w:r>
        <w:rPr>
          <w:rFonts w:ascii="方正仿宋_GBK" w:hAnsi="方正仿宋_GBK" w:eastAsia="方正仿宋_GBK" w:cs="方正仿宋_GBK"/>
          <w:sz w:val="32"/>
          <w:szCs w:val="32"/>
          <w:shd w:val="clear" w:color="auto" w:fill="FFFFFF"/>
        </w:rPr>
        <w:t>万元，与2023年度相比，增加145.60万元，增长100.0%，主要原因是</w:t>
      </w:r>
      <w:r>
        <w:rPr>
          <w:rFonts w:hint="eastAsia" w:ascii="方正仿宋_GBK" w:hAnsi="方正仿宋_GBK" w:eastAsia="方正仿宋_GBK" w:cs="方正仿宋_GBK"/>
          <w:sz w:val="32"/>
          <w:szCs w:val="32"/>
          <w:shd w:val="clear" w:color="auto" w:fill="FFFFFF"/>
        </w:rPr>
        <w:t>该单位为2024年新增单位，上年无指标，故增长100%。</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145.60</w:t>
      </w:r>
      <w:r>
        <w:rPr>
          <w:rFonts w:ascii="方正仿宋_GBK" w:hAnsi="方正仿宋_GBK" w:eastAsia="方正仿宋_GBK" w:cs="方正仿宋_GBK"/>
          <w:sz w:val="32"/>
          <w:szCs w:val="32"/>
          <w:shd w:val="clear" w:color="auto" w:fill="FFFFFF"/>
        </w:rPr>
        <w:t>万元，占100.00%。此外，结余分配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度财政拨款收、支总计145.60万元。与202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年相比，财政拨款收、支总计各增加145.60万元，增长100.0%。主要原因是</w:t>
      </w:r>
      <w:r>
        <w:rPr>
          <w:rFonts w:hint="eastAsia" w:ascii="方正仿宋_GBK" w:hAnsi="方正仿宋_GBK" w:eastAsia="方正仿宋_GBK" w:cs="方正仿宋_GBK"/>
          <w:sz w:val="32"/>
          <w:szCs w:val="32"/>
          <w:shd w:val="clear" w:color="auto" w:fill="FFFFFF"/>
        </w:rPr>
        <w:t>该单位为2024年新增单位，上年无指标，故增长100%。</w:t>
      </w:r>
    </w:p>
    <w:p>
      <w:pPr>
        <w:pStyle w:val="11"/>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145.60</w:t>
      </w:r>
      <w:r>
        <w:rPr>
          <w:rFonts w:ascii="方正仿宋_GBK" w:hAnsi="方正仿宋_GBK" w:eastAsia="方正仿宋_GBK" w:cs="方正仿宋_GBK"/>
          <w:sz w:val="32"/>
          <w:szCs w:val="32"/>
          <w:shd w:val="clear" w:color="auto" w:fill="FFFFFF"/>
        </w:rPr>
        <w:t>万元，与2023年度相比，增加145.60万元，增长100.0%。主要原因是</w:t>
      </w:r>
      <w:r>
        <w:rPr>
          <w:rFonts w:hint="eastAsia" w:ascii="方正仿宋_GBK" w:hAnsi="方正仿宋_GBK" w:eastAsia="方正仿宋_GBK" w:cs="方正仿宋_GBK"/>
          <w:sz w:val="32"/>
          <w:szCs w:val="32"/>
          <w:shd w:val="clear" w:color="auto" w:fill="FFFFFF"/>
        </w:rPr>
        <w:t>该单位为2024年新增单位，上年无指标，故增长100%。</w:t>
      </w:r>
      <w:r>
        <w:rPr>
          <w:rFonts w:ascii="方正仿宋_GBK" w:hAnsi="方正仿宋_GBK" w:eastAsia="方正仿宋_GBK" w:cs="方正仿宋_GBK"/>
          <w:sz w:val="32"/>
          <w:szCs w:val="32"/>
          <w:shd w:val="clear" w:color="auto" w:fill="FFFFFF"/>
        </w:rPr>
        <w:t>较年初预算数增加7.24万元，增长5.2%。主要原因是</w:t>
      </w:r>
      <w:r>
        <w:rPr>
          <w:rFonts w:hint="eastAsia" w:ascii="方正仿宋_GBK" w:hAnsi="方正仿宋_GBK" w:eastAsia="方正仿宋_GBK" w:cs="方正仿宋_GBK"/>
          <w:color w:val="auto"/>
          <w:sz w:val="32"/>
          <w:szCs w:val="32"/>
          <w:shd w:val="clear" w:color="auto" w:fill="FFFFFF"/>
          <w:lang w:val="en-US" w:eastAsia="zh-CN"/>
        </w:rPr>
        <w:t>2024年2月通过公开遴选，调入1名工作人员。</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145.60</w:t>
      </w:r>
      <w:r>
        <w:rPr>
          <w:rFonts w:ascii="方正仿宋_GBK" w:hAnsi="方正仿宋_GBK" w:eastAsia="方正仿宋_GBK" w:cs="方正仿宋_GBK"/>
          <w:sz w:val="32"/>
          <w:szCs w:val="32"/>
          <w:shd w:val="clear" w:color="auto" w:fill="FFFFFF"/>
        </w:rPr>
        <w:t>万元，与2023年度相比，增加145.60万元，增长100.0%。主要原因是</w:t>
      </w:r>
      <w:r>
        <w:rPr>
          <w:rFonts w:hint="eastAsia" w:ascii="方正仿宋_GBK" w:hAnsi="方正仿宋_GBK" w:eastAsia="方正仿宋_GBK" w:cs="方正仿宋_GBK"/>
          <w:sz w:val="32"/>
          <w:szCs w:val="32"/>
          <w:shd w:val="clear" w:color="auto" w:fill="FFFFFF"/>
        </w:rPr>
        <w:t>该单位为2024年新增单位，上年无指标，故增长100%。</w:t>
      </w:r>
      <w:r>
        <w:rPr>
          <w:rFonts w:ascii="方正仿宋_GBK" w:hAnsi="方正仿宋_GBK" w:eastAsia="方正仿宋_GBK" w:cs="方正仿宋_GBK"/>
          <w:sz w:val="32"/>
          <w:szCs w:val="32"/>
          <w:shd w:val="clear" w:color="auto" w:fill="FFFFFF"/>
        </w:rPr>
        <w:t>较年初预算数增加7.24万元，增长5.2%。主要原因是</w:t>
      </w:r>
      <w:r>
        <w:rPr>
          <w:rFonts w:hint="eastAsia" w:ascii="方正仿宋_GBK" w:hAnsi="方正仿宋_GBK" w:eastAsia="方正仿宋_GBK" w:cs="方正仿宋_GBK"/>
          <w:color w:val="auto"/>
          <w:sz w:val="32"/>
          <w:szCs w:val="32"/>
          <w:shd w:val="clear" w:color="auto" w:fill="FFFFFF"/>
          <w:lang w:val="en-US" w:eastAsia="zh-CN"/>
        </w:rPr>
        <w:t>2024年2月通过公开遴选，调入1名工作人员。</w:t>
      </w:r>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114.36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78.54</w:t>
      </w:r>
      <w:r>
        <w:rPr>
          <w:rFonts w:ascii="方正仿宋_GBK" w:hAnsi="方正仿宋_GBK" w:eastAsia="方正仿宋_GBK" w:cs="方正仿宋_GBK"/>
          <w:sz w:val="32"/>
          <w:szCs w:val="32"/>
          <w:shd w:val="clear" w:color="auto" w:fill="FFFFFF"/>
        </w:rPr>
        <w:t>%，较年初预算数增加1.01万元，增长0.9%，主要原因是</w:t>
      </w:r>
      <w:r>
        <w:rPr>
          <w:rFonts w:hint="eastAsia" w:ascii="方正仿宋_GBK" w:hAnsi="方正仿宋_GBK" w:eastAsia="方正仿宋_GBK" w:cs="方正仿宋_GBK"/>
          <w:color w:val="auto"/>
          <w:sz w:val="32"/>
          <w:szCs w:val="32"/>
          <w:shd w:val="clear" w:color="auto" w:fill="FFFFFF"/>
          <w:lang w:val="en-US" w:eastAsia="zh-CN"/>
        </w:rPr>
        <w:t>2024年2月通过公开遴选，调入1名工作人员。</w:t>
      </w:r>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19.28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13.24</w:t>
      </w:r>
      <w:r>
        <w:rPr>
          <w:rFonts w:ascii="方正仿宋_GBK" w:hAnsi="方正仿宋_GBK" w:eastAsia="方正仿宋_GBK" w:cs="方正仿宋_GBK"/>
          <w:sz w:val="32"/>
          <w:szCs w:val="32"/>
          <w:shd w:val="clear" w:color="auto" w:fill="FFFFFF"/>
        </w:rPr>
        <w:t>%，较年初预算数增加6.23万元，增长47.7%，主要原因是</w:t>
      </w:r>
      <w:bookmarkStart w:id="0" w:name="_GoBack"/>
      <w:r>
        <w:rPr>
          <w:rFonts w:hint="eastAsia" w:ascii="方正仿宋_GBK" w:hAnsi="方正仿宋_GBK" w:eastAsia="方正仿宋_GBK" w:cs="方正仿宋_GBK"/>
          <w:sz w:val="32"/>
          <w:szCs w:val="32"/>
          <w:highlight w:val="none"/>
          <w:shd w:val="clear" w:color="auto" w:fill="FFFFFF"/>
          <w:lang w:val="en-US" w:eastAsia="zh-CN"/>
        </w:rPr>
        <w:t>根据相关政策规定，本年度事业人员养老保险及职业年金基数调高。</w:t>
      </w:r>
      <w:bookmarkEnd w:id="0"/>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3.73</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val="0"/>
        <w:shd w:val="clear"/>
        <w:kinsoku/>
        <w:wordWrap/>
        <w:overflowPunct/>
        <w:topLinePunct w:val="0"/>
        <w:autoSpaceDN/>
        <w:bidi w:val="0"/>
        <w:adjustRightInd w:val="0"/>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住房保障支出6.52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4.48</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145.60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127.85</w:t>
      </w:r>
      <w:r>
        <w:rPr>
          <w:rFonts w:ascii="方正仿宋_GBK" w:hAnsi="方正仿宋_GBK" w:eastAsia="方正仿宋_GBK" w:cs="方正仿宋_GBK"/>
          <w:sz w:val="32"/>
          <w:szCs w:val="32"/>
          <w:shd w:val="clear" w:color="auto" w:fill="FFFFFF"/>
        </w:rPr>
        <w:t>万元，与2023年度相比，增加127.85万元，增长100.0%，主要原因是</w:t>
      </w:r>
      <w:r>
        <w:rPr>
          <w:rFonts w:hint="eastAsia" w:ascii="方正仿宋_GBK" w:hAnsi="方正仿宋_GBK" w:eastAsia="方正仿宋_GBK" w:cs="方正仿宋_GBK"/>
          <w:sz w:val="32"/>
          <w:szCs w:val="32"/>
          <w:shd w:val="clear" w:color="auto" w:fill="FFFFFF"/>
        </w:rPr>
        <w:t>该单位为2024年新增单位，上年无指标，故增长100%。</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val="en-US" w:eastAsia="zh-CN"/>
        </w:rPr>
        <w:t>基本工资、津贴补贴、绩效工资、社会保障缴费等。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17.75</w:t>
      </w:r>
      <w:r>
        <w:rPr>
          <w:rFonts w:ascii="方正仿宋_GBK" w:hAnsi="方正仿宋_GBK" w:eastAsia="方正仿宋_GBK" w:cs="方正仿宋_GBK"/>
          <w:sz w:val="32"/>
          <w:szCs w:val="32"/>
          <w:shd w:val="clear" w:color="auto" w:fill="FFFFFF"/>
        </w:rPr>
        <w:t>万元，与2023年度相比，增加17.75万元，增长100.0%，主要原因是</w:t>
      </w:r>
      <w:r>
        <w:rPr>
          <w:rFonts w:hint="eastAsia" w:ascii="方正仿宋_GBK" w:hAnsi="方正仿宋_GBK" w:eastAsia="方正仿宋_GBK" w:cs="方正仿宋_GBK"/>
          <w:sz w:val="32"/>
          <w:szCs w:val="32"/>
          <w:shd w:val="clear" w:color="auto" w:fill="FFFFFF"/>
        </w:rPr>
        <w:t>该单位为2024年新增单位，上年无指标，故增长100%。</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办公费、工会经费、租赁费等。</w:t>
      </w:r>
    </w:p>
    <w:p>
      <w:pPr>
        <w:pStyle w:val="11"/>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highlight w:val="none"/>
          <w:shd w:val="clear" w:color="auto" w:fill="auto"/>
        </w:rPr>
      </w:pPr>
      <w:r>
        <w:rPr>
          <w:rStyle w:val="10"/>
          <w:rFonts w:ascii="方正仿宋_GBK" w:hAnsi="方正仿宋_GBK" w:eastAsia="方正仿宋_GBK" w:cs="方正仿宋_GBK"/>
          <w:b w:val="0"/>
          <w:bCs/>
          <w:sz w:val="32"/>
          <w:szCs w:val="32"/>
          <w:highlight w:val="none"/>
          <w:shd w:val="clear" w:color="auto" w:fill="auto"/>
        </w:rPr>
        <w:t>本单位</w:t>
      </w:r>
      <w:r>
        <w:rPr>
          <w:rStyle w:val="10"/>
          <w:rFonts w:hint="eastAsia" w:ascii="方正仿宋_GBK" w:hAnsi="方正仿宋_GBK" w:eastAsia="方正仿宋_GBK" w:cs="方正仿宋_GBK"/>
          <w:b w:val="0"/>
          <w:bCs/>
          <w:sz w:val="32"/>
          <w:szCs w:val="32"/>
          <w:highlight w:val="none"/>
          <w:shd w:val="clear" w:color="auto" w:fill="auto"/>
          <w:lang w:eastAsia="zh-CN"/>
        </w:rPr>
        <w:t>2024年</w:t>
      </w:r>
      <w:r>
        <w:rPr>
          <w:rStyle w:val="10"/>
          <w:rFonts w:ascii="方正仿宋_GBK" w:hAnsi="方正仿宋_GBK" w:eastAsia="方正仿宋_GBK" w:cs="方正仿宋_GBK"/>
          <w:b w:val="0"/>
          <w:bCs/>
          <w:sz w:val="32"/>
          <w:szCs w:val="32"/>
          <w:highlight w:val="none"/>
          <w:shd w:val="clear" w:color="auto" w:fill="auto"/>
        </w:rPr>
        <w:t>度无政府性基金预算财政拨款收支。</w:t>
      </w:r>
    </w:p>
    <w:p>
      <w:pPr>
        <w:pStyle w:val="11"/>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w:t>
      </w:r>
      <w:r>
        <w:rPr>
          <w:rFonts w:hint="eastAsia" w:ascii="方正楷体_GBK" w:hAnsi="方正楷体_GBK" w:eastAsia="方正楷体_GBK" w:cs="方正楷体_GBK"/>
          <w:b w:val="0"/>
          <w:bCs w:val="0"/>
          <w:sz w:val="32"/>
          <w:szCs w:val="32"/>
          <w:shd w:val="clear" w:color="auto" w:fill="auto"/>
        </w:rPr>
        <w:t>国有资</w:t>
      </w:r>
      <w:r>
        <w:rPr>
          <w:rFonts w:hint="eastAsia" w:ascii="方正楷体_GBK" w:hAnsi="方正楷体_GBK" w:eastAsia="方正楷体_GBK" w:cs="方正楷体_GBK"/>
          <w:b w:val="0"/>
          <w:bCs w:val="0"/>
          <w:sz w:val="32"/>
          <w:szCs w:val="32"/>
          <w:shd w:val="clear" w:color="auto" w:fill="FFFFFF"/>
        </w:rPr>
        <w:t>本经营预算财政拨款支出决算情况说明</w:t>
      </w:r>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highlight w:val="none"/>
          <w:shd w:val="clear" w:color="auto" w:fill="auto"/>
        </w:rPr>
      </w:pPr>
      <w:r>
        <w:rPr>
          <w:rStyle w:val="10"/>
          <w:rFonts w:ascii="方正仿宋_GBK" w:hAnsi="方正仿宋_GBK" w:eastAsia="方正仿宋_GBK" w:cs="方正仿宋_GBK"/>
          <w:b w:val="0"/>
          <w:bCs/>
          <w:sz w:val="32"/>
          <w:szCs w:val="32"/>
          <w:highlight w:val="none"/>
          <w:shd w:val="clear" w:color="auto" w:fill="auto"/>
        </w:rPr>
        <w:t>本单位</w:t>
      </w:r>
      <w:r>
        <w:rPr>
          <w:rStyle w:val="10"/>
          <w:rFonts w:hint="eastAsia" w:ascii="方正仿宋_GBK" w:hAnsi="方正仿宋_GBK" w:eastAsia="方正仿宋_GBK" w:cs="方正仿宋_GBK"/>
          <w:b w:val="0"/>
          <w:bCs/>
          <w:sz w:val="32"/>
          <w:szCs w:val="32"/>
          <w:highlight w:val="none"/>
          <w:shd w:val="clear" w:color="auto" w:fill="auto"/>
          <w:lang w:eastAsia="zh-CN"/>
        </w:rPr>
        <w:t>2024年</w:t>
      </w:r>
      <w:r>
        <w:rPr>
          <w:rStyle w:val="10"/>
          <w:rFonts w:ascii="方正仿宋_GBK" w:hAnsi="方正仿宋_GBK" w:eastAsia="方正仿宋_GBK" w:cs="方正仿宋_GBK"/>
          <w:b w:val="0"/>
          <w:bCs/>
          <w:sz w:val="32"/>
          <w:szCs w:val="32"/>
          <w:highlight w:val="none"/>
          <w:shd w:val="clear" w:color="auto" w:fill="auto"/>
        </w:rPr>
        <w:t>度无国有资本经营预算财政拨款支出。</w:t>
      </w:r>
    </w:p>
    <w:p>
      <w:pPr>
        <w:pStyle w:val="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3" w:firstLineChars="200"/>
        <w:textAlignment w:val="auto"/>
        <w:rPr>
          <w:rStyle w:val="10"/>
          <w:rFonts w:ascii="方正仿宋_GBK" w:hAnsi="方正仿宋_GBK" w:eastAsia="方正仿宋_GBK" w:cs="方正仿宋_GBK"/>
          <w:sz w:val="32"/>
          <w:szCs w:val="32"/>
          <w:shd w:val="clear" w:color="auto" w:fill="auto"/>
        </w:rPr>
      </w:pPr>
      <w:r>
        <w:rPr>
          <w:rStyle w:val="10"/>
          <w:rFonts w:ascii="方正仿宋_GBK" w:hAnsi="方正仿宋_GBK" w:eastAsia="方正仿宋_GBK" w:cs="方正仿宋_GBK"/>
          <w:sz w:val="32"/>
          <w:szCs w:val="32"/>
          <w:shd w:val="clear" w:color="auto" w:fill="auto"/>
        </w:rPr>
        <w:t>本单位</w:t>
      </w:r>
      <w:r>
        <w:rPr>
          <w:rStyle w:val="10"/>
          <w:rFonts w:hint="eastAsia" w:ascii="方正仿宋_GBK" w:hAnsi="方正仿宋_GBK" w:eastAsia="方正仿宋_GBK" w:cs="方正仿宋_GBK"/>
          <w:sz w:val="32"/>
          <w:szCs w:val="32"/>
          <w:shd w:val="clear" w:color="auto" w:fill="auto"/>
          <w:lang w:eastAsia="zh-CN"/>
        </w:rPr>
        <w:t>2024年</w:t>
      </w:r>
      <w:r>
        <w:rPr>
          <w:rStyle w:val="10"/>
          <w:rFonts w:ascii="方正仿宋_GBK" w:hAnsi="方正仿宋_GBK" w:eastAsia="方正仿宋_GBK" w:cs="方正仿宋_GBK"/>
          <w:sz w:val="32"/>
          <w:szCs w:val="32"/>
          <w:shd w:val="clear" w:color="auto" w:fill="auto"/>
        </w:rPr>
        <w:t>度无</w:t>
      </w:r>
      <w:r>
        <w:rPr>
          <w:rStyle w:val="10"/>
          <w:rFonts w:hint="eastAsia" w:ascii="方正仿宋_GBK" w:hAnsi="方正仿宋_GBK" w:eastAsia="方正仿宋_GBK" w:cs="方正仿宋_GBK"/>
          <w:sz w:val="32"/>
          <w:szCs w:val="32"/>
          <w:shd w:val="clear" w:color="auto" w:fill="auto"/>
        </w:rPr>
        <w:t>“三公”经费</w:t>
      </w:r>
      <w:r>
        <w:rPr>
          <w:rStyle w:val="10"/>
          <w:rFonts w:ascii="方正仿宋_GBK" w:hAnsi="方正仿宋_GBK" w:eastAsia="方正仿宋_GBK" w:cs="方正仿宋_GBK"/>
          <w:sz w:val="32"/>
          <w:szCs w:val="32"/>
          <w:shd w:val="clear" w:color="auto" w:fill="auto"/>
        </w:rPr>
        <w:t>支出。</w:t>
      </w:r>
    </w:p>
    <w:p>
      <w:pPr>
        <w:pStyle w:val="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11"/>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7"/>
        <w:keepNext w:val="0"/>
        <w:keepLines w:val="0"/>
        <w:pageBreakBefore w:val="0"/>
        <w:widowControl w:val="0"/>
        <w:shd w:val="clear"/>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万元，与2023年度相比，增加0.20万元，增长100.0%，主要原因是</w:t>
      </w:r>
      <w:r>
        <w:rPr>
          <w:rFonts w:hint="eastAsia" w:ascii="方正仿宋_GBK" w:hAnsi="方正仿宋_GBK" w:eastAsia="方正仿宋_GBK" w:cs="方正仿宋_GBK"/>
          <w:sz w:val="32"/>
          <w:szCs w:val="32"/>
          <w:shd w:val="clear" w:color="auto" w:fill="FFFFFF"/>
        </w:rPr>
        <w:t>该单位为2024年新增单位，上年无指标，故增长100%</w:t>
      </w:r>
      <w:r>
        <w:rPr>
          <w:rFonts w:hint="eastAsia"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pPr>
        <w:pStyle w:val="11"/>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因</w:t>
      </w:r>
      <w:r>
        <w:rPr>
          <w:rFonts w:hint="eastAsia" w:ascii="方正仿宋_GBK" w:hAnsi="方正仿宋_GBK" w:eastAsia="方正仿宋_GBK" w:cs="方正仿宋_GBK"/>
          <w:color w:val="auto"/>
          <w:sz w:val="32"/>
          <w:szCs w:val="32"/>
          <w:lang w:val="en-US" w:eastAsia="zh-CN"/>
        </w:rPr>
        <w:t>我单位与重庆巫溪工业园区管理委员会本级单位合署办公，未单独登记国有资产，故我单位</w:t>
      </w:r>
      <w:r>
        <w:rPr>
          <w:rFonts w:hint="default" w:ascii="方正仿宋_GBK" w:hAnsi="方正仿宋_GBK" w:eastAsia="方正仿宋_GBK" w:cs="方正仿宋_GBK"/>
          <w:color w:val="auto"/>
          <w:sz w:val="32"/>
          <w:szCs w:val="32"/>
        </w:rPr>
        <w:t>资产未纳入部门决算报表。</w:t>
      </w:r>
    </w:p>
    <w:p>
      <w:pPr>
        <w:pStyle w:val="11"/>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7"/>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2"/>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jc w:val="left"/>
        <w:textAlignment w:val="auto"/>
        <w:rPr>
          <w:rFonts w:hint="default"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我单位部门整体绩效自评表通过主管部门进行统一公示。</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jc w:val="left"/>
        <w:textAlignment w:val="auto"/>
        <w:rPr>
          <w:rFonts w:hint="default"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本单位2024年度无项目支出。</w:t>
      </w:r>
    </w:p>
    <w:p>
      <w:pPr>
        <w:pStyle w:val="12"/>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pPr>
        <w:pStyle w:val="14"/>
        <w:keepNext w:val="0"/>
        <w:keepLines w:val="0"/>
        <w:pageBreakBefore w:val="0"/>
        <w:widowControl w:val="0"/>
        <w:shd w:val="clear"/>
        <w:kinsoku/>
        <w:wordWrap/>
        <w:overflowPunct/>
        <w:topLinePunct w:val="0"/>
        <w:autoSpaceDE w:val="0"/>
        <w:autoSpaceDN/>
        <w:bidi w:val="0"/>
        <w:adjustRightInd w:val="0"/>
        <w:snapToGrid w:val="0"/>
        <w:spacing w:beforeAutospacing="0" w:after="0" w:afterAutospacing="0" w:line="594"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val="en-US" w:eastAsia="zh-CN"/>
        </w:rPr>
        <w:t>无。</w:t>
      </w:r>
    </w:p>
    <w:p>
      <w:pPr>
        <w:pStyle w:val="14"/>
        <w:keepNext w:val="0"/>
        <w:keepLines w:val="0"/>
        <w:pageBreakBefore w:val="0"/>
        <w:widowControl w:val="0"/>
        <w:shd w:val="clear"/>
        <w:kinsoku/>
        <w:wordWrap/>
        <w:overflowPunct/>
        <w:topLinePunct w:val="0"/>
        <w:autoSpaceDE w:val="0"/>
        <w:autoSpaceDN/>
        <w:bidi w:val="0"/>
        <w:adjustRightInd w:val="0"/>
        <w:snapToGrid w:val="0"/>
        <w:spacing w:beforeAutospacing="0" w:after="0" w:afterAutospacing="0" w:line="594"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pPr>
        <w:pStyle w:val="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六、专业名词解释</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51531063</w:t>
      </w:r>
    </w:p>
    <w:p>
      <w:pPr>
        <w:pStyle w:val="11"/>
        <w:keepNext w:val="0"/>
        <w:keepLines w:val="0"/>
        <w:pageBreakBefore w:val="0"/>
        <w:widowControl w:val="0"/>
        <w:shd w:val="clear"/>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pPr>
        <w:pStyle w:val="11"/>
        <w:keepNext w:val="0"/>
        <w:keepLines w:val="0"/>
        <w:pageBreakBefore w:val="0"/>
        <w:widowControl w:val="0"/>
        <w:shd w:val="clear"/>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巫溪县工业园区企业服务中心</w:t>
            </w:r>
          </w:p>
        </w:tc>
        <w:tc>
          <w:tcPr>
            <w:tcW w:w="4419" w:type="dxa"/>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145.60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145.60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145.60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145.60</w:t>
            </w:r>
          </w:p>
        </w:tc>
      </w:tr>
    </w:tbl>
    <w:p>
      <w:pPr>
        <w:pStyle w:val="11"/>
        <w:keepNext w:val="0"/>
        <w:keepLines w:val="0"/>
        <w:pageBreakBefore w:val="0"/>
        <w:widowControl w:val="0"/>
        <w:numPr>
          <w:ilvl w:val="0"/>
          <w:numId w:val="0"/>
        </w:numPr>
        <w:shd w:val="clear"/>
        <w:kinsoku/>
        <w:overflowPunct/>
        <w:topLinePunct w:val="0"/>
        <w:autoSpaceDE w:val="0"/>
        <w:autoSpaceDN/>
        <w:bidi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keepNext w:val="0"/>
        <w:keepLines w:val="0"/>
        <w:pageBreakBefore w:val="0"/>
        <w:widowControl w:val="0"/>
        <w:numPr>
          <w:ilvl w:val="0"/>
          <w:numId w:val="0"/>
        </w:numPr>
        <w:shd w:val="clear"/>
        <w:kinsoku/>
        <w:overflowPunct/>
        <w:topLinePunct w:val="0"/>
        <w:autoSpaceDE w:val="0"/>
        <w:autoSpaceDN/>
        <w:bidi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巫溪县工业园区企业服务中心</w:t>
            </w:r>
          </w:p>
        </w:tc>
        <w:tc>
          <w:tcPr>
            <w:tcW w:w="2408" w:type="dxa"/>
            <w:tcBorders>
              <w:top w:val="nil"/>
              <w:left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145.60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145.60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widowControl w:val="0"/>
        <w:numPr>
          <w:ilvl w:val="0"/>
          <w:numId w:val="0"/>
        </w:numPr>
        <w:shd w:val="clear"/>
        <w:kinsoku/>
        <w:overflowPunct/>
        <w:topLinePunct w:val="0"/>
        <w:autoSpaceDN/>
        <w:bidi w:val="0"/>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巫溪县工业园区企业服务中心 </w:t>
            </w:r>
          </w:p>
        </w:tc>
        <w:tc>
          <w:tcPr>
            <w:tcW w:w="2741" w:type="dxa"/>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145.60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145.60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widowControl w:val="0"/>
        <w:numPr>
          <w:ilvl w:val="0"/>
          <w:numId w:val="0"/>
        </w:numPr>
        <w:shd w:val="clear"/>
        <w:kinsoku/>
        <w:overflowPunct/>
        <w:topLinePunct w:val="0"/>
        <w:autoSpaceDN/>
        <w:bidi w:val="0"/>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巫溪县工业园区企业服务中心</w:t>
            </w:r>
          </w:p>
        </w:tc>
        <w:tc>
          <w:tcPr>
            <w:tcW w:w="2874" w:type="dxa"/>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keepNext w:val="0"/>
        <w:keepLines w:val="0"/>
        <w:pageBreakBefore w:val="0"/>
        <w:widowControl w:val="0"/>
        <w:shd w:val="clear"/>
        <w:kinsoku/>
        <w:overflowPunct/>
        <w:topLinePunct w:val="0"/>
        <w:autoSpaceDN/>
        <w:bidi w:val="0"/>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巫溪县工业园区企业服务中心</w:t>
            </w: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145.60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145.60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145.60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145.60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keepNext w:val="0"/>
        <w:keepLines w:val="0"/>
        <w:pageBreakBefore w:val="0"/>
        <w:widowControl w:val="0"/>
        <w:numPr>
          <w:ilvl w:val="0"/>
          <w:numId w:val="0"/>
        </w:numPr>
        <w:shd w:val="clear"/>
        <w:kinsoku/>
        <w:overflowPunct/>
        <w:topLinePunct w:val="0"/>
        <w:autoSpaceDN/>
        <w:bidi w:val="0"/>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巫溪县工业园区企业服务中心</w:t>
            </w:r>
          </w:p>
        </w:tc>
        <w:tc>
          <w:tcPr>
            <w:tcW w:w="2682" w:type="dxa"/>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127.85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17.75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127.85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17.75 </w:t>
            </w:r>
          </w:p>
        </w:tc>
      </w:tr>
    </w:tbl>
    <w:p>
      <w:pPr>
        <w:keepNext w:val="0"/>
        <w:keepLines w:val="0"/>
        <w:pageBreakBefore w:val="0"/>
        <w:widowControl w:val="0"/>
        <w:shd w:val="clear"/>
        <w:kinsoku/>
        <w:overflowPunct/>
        <w:topLinePunct w:val="0"/>
        <w:autoSpaceDN/>
        <w:bidi w:val="0"/>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巫溪县工业园区企业服务中心</w:t>
            </w: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keepNext w:val="0"/>
        <w:keepLines w:val="0"/>
        <w:pageBreakBefore w:val="0"/>
        <w:widowControl w:val="0"/>
        <w:shd w:val="clear"/>
        <w:kinsoku/>
        <w:overflowPunct/>
        <w:topLinePunct w:val="0"/>
        <w:autoSpaceDN/>
        <w:bidi w:val="0"/>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巫溪县工业园区企业服务中心</w:t>
            </w:r>
          </w:p>
        </w:tc>
        <w:tc>
          <w:tcPr>
            <w:tcW w:w="2116" w:type="dxa"/>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topLinePunct w:val="0"/>
              <w:autoSpaceDN/>
              <w:bidi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topLinePunct w:val="0"/>
              <w:autoSpaceDN/>
              <w:bidi w:val="0"/>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widowControl w:val="0"/>
        <w:numPr>
          <w:ilvl w:val="0"/>
          <w:numId w:val="0"/>
        </w:numPr>
        <w:shd w:val="clear"/>
        <w:kinsoku/>
        <w:overflowPunct/>
        <w:topLinePunct w:val="0"/>
        <w:autoSpaceDN/>
        <w:bidi w:val="0"/>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巫溪县工业园区企业服务中心</w:t>
            </w:r>
          </w:p>
        </w:tc>
        <w:tc>
          <w:tcPr>
            <w:tcW w:w="4284" w:type="dxa"/>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keepNext w:val="0"/>
              <w:keepLines w:val="0"/>
              <w:pageBreakBefore w:val="0"/>
              <w:widowControl w:val="0"/>
              <w:shd w:val="clear"/>
              <w:kinsoku/>
              <w:overflowPunct/>
              <w:topLinePunct w:val="0"/>
              <w:autoSpaceDN/>
              <w:bidi w:val="0"/>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pageBreakBefore w:val="0"/>
              <w:widowControl w:val="0"/>
              <w:suppressLineNumbers w:val="0"/>
              <w:shd w:val="clear"/>
              <w:kinsoku/>
              <w:overflowPunct/>
              <w:topLinePunct w:val="0"/>
              <w:autoSpaceDN/>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0.20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0.36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val="0"/>
              <w:shd w:val="clear"/>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keepNext w:val="0"/>
        <w:keepLines w:val="0"/>
        <w:pageBreakBefore w:val="0"/>
        <w:widowControl w:val="0"/>
        <w:shd w:val="clear"/>
        <w:kinsoku/>
        <w:overflowPunct/>
        <w:topLinePunct w:val="0"/>
        <w:autoSpaceDN/>
        <w:bidi w:val="0"/>
        <w:rPr>
          <w:rFonts w:hint="eastAsia" w:ascii="宋体" w:hAnsi="宋体" w:eastAsia="宋体" w:cs="宋体"/>
          <w:color w:val="000000"/>
          <w:sz w:val="21"/>
          <w:szCs w:val="21"/>
          <w:lang w:bidi="ar"/>
        </w:rPr>
      </w:pPr>
    </w:p>
    <w:p>
      <w:pPr>
        <w:keepNext w:val="0"/>
        <w:keepLines w:val="0"/>
        <w:pageBreakBefore w:val="0"/>
        <w:widowControl w:val="0"/>
        <w:shd w:val="clear"/>
        <w:kinsoku/>
        <w:overflowPunct/>
        <w:topLinePunct w:val="0"/>
        <w:autoSpaceDN/>
        <w:bidi w:val="0"/>
        <w:rPr>
          <w:rFonts w:hint="eastAsia" w:ascii="宋体" w:hAnsi="宋体" w:eastAsia="宋体" w:cs="宋体"/>
          <w:color w:val="000000"/>
          <w:sz w:val="21"/>
          <w:szCs w:val="21"/>
          <w:lang w:bidi="ar"/>
        </w:rPr>
      </w:pPr>
    </w:p>
    <w:p>
      <w:pPr>
        <w:keepNext w:val="0"/>
        <w:keepLines w:val="0"/>
        <w:pageBreakBefore w:val="0"/>
        <w:widowControl w:val="0"/>
        <w:shd w:val="clear"/>
        <w:kinsoku/>
        <w:overflowPunct/>
        <w:topLinePunct w:val="0"/>
        <w:autoSpaceDN/>
        <w:bidi w:val="0"/>
        <w:rPr>
          <w:rFonts w:hint="eastAsia" w:ascii="宋体" w:hAnsi="宋体" w:eastAsia="宋体" w:cs="宋体"/>
          <w:color w:val="000000"/>
          <w:sz w:val="21"/>
          <w:szCs w:val="21"/>
          <w:lang w:bidi="ar"/>
        </w:rPr>
      </w:pPr>
    </w:p>
    <w:p>
      <w:pPr>
        <w:keepNext w:val="0"/>
        <w:keepLines w:val="0"/>
        <w:pageBreakBefore w:val="0"/>
        <w:widowControl w:val="0"/>
        <w:shd w:val="clear"/>
        <w:kinsoku/>
        <w:overflowPunct/>
        <w:topLinePunct w:val="0"/>
        <w:autoSpaceDN/>
        <w:bidi w:val="0"/>
        <w:rPr>
          <w:rFonts w:hint="eastAsia" w:ascii="宋体" w:hAnsi="宋体" w:eastAsia="宋体" w:cs="宋体"/>
          <w:color w:val="000000"/>
          <w:sz w:val="21"/>
          <w:szCs w:val="21"/>
          <w:lang w:bidi="ar"/>
        </w:rPr>
      </w:pPr>
    </w:p>
    <w:p>
      <w:pPr>
        <w:keepNext w:val="0"/>
        <w:keepLines w:val="0"/>
        <w:pageBreakBefore w:val="0"/>
        <w:widowControl w:val="0"/>
        <w:shd w:val="clear"/>
        <w:kinsoku/>
        <w:overflowPunct/>
        <w:topLinePunct w:val="0"/>
        <w:autoSpaceDN/>
        <w:bidi w:val="0"/>
        <w:rPr>
          <w:rFonts w:hint="eastAsia" w:ascii="宋体" w:hAnsi="宋体" w:eastAsia="宋体" w:cs="宋体"/>
          <w:color w:val="000000"/>
          <w:sz w:val="21"/>
          <w:szCs w:val="21"/>
          <w:lang w:bidi="ar"/>
        </w:rPr>
      </w:pPr>
    </w:p>
    <w:p>
      <w:pPr>
        <w:keepNext w:val="0"/>
        <w:keepLines w:val="0"/>
        <w:pageBreakBefore w:val="0"/>
        <w:widowControl w:val="0"/>
        <w:shd w:val="clear"/>
        <w:kinsoku/>
        <w:overflowPunct/>
        <w:topLinePunct w:val="0"/>
        <w:autoSpaceDN/>
        <w:bidi w:val="0"/>
        <w:rPr>
          <w:rFonts w:hint="eastAsia" w:ascii="宋体" w:hAnsi="宋体" w:eastAsia="宋体" w:cs="宋体"/>
          <w:color w:val="000000"/>
          <w:sz w:val="21"/>
          <w:szCs w:val="21"/>
          <w:lang w:bidi="ar"/>
        </w:rPr>
      </w:pPr>
    </w:p>
    <w:p>
      <w:pPr>
        <w:keepNext w:val="0"/>
        <w:keepLines w:val="0"/>
        <w:pageBreakBefore w:val="0"/>
        <w:widowControl w:val="0"/>
        <w:shd w:val="clear"/>
        <w:kinsoku/>
        <w:overflowPunct/>
        <w:topLinePunct w:val="0"/>
        <w:autoSpaceDN/>
        <w:bidi w:val="0"/>
        <w:rPr>
          <w:rFonts w:hint="eastAsia" w:ascii="宋体" w:hAnsi="宋体" w:eastAsia="宋体" w:cs="宋体"/>
          <w:color w:val="000000"/>
          <w:sz w:val="21"/>
          <w:szCs w:val="21"/>
          <w:lang w:bidi="ar"/>
        </w:rPr>
      </w:pPr>
    </w:p>
    <w:p>
      <w:pPr>
        <w:keepNext w:val="0"/>
        <w:keepLines w:val="0"/>
        <w:pageBreakBefore w:val="0"/>
        <w:widowControl w:val="0"/>
        <w:shd w:val="clear"/>
        <w:kinsoku/>
        <w:overflowPunct/>
        <w:topLinePunct w:val="0"/>
        <w:autoSpaceDN/>
        <w:bidi w:val="0"/>
        <w:rPr>
          <w:rFonts w:hint="eastAsia" w:ascii="宋体" w:hAnsi="宋体" w:eastAsia="宋体" w:cs="宋体"/>
          <w:color w:val="000000"/>
          <w:sz w:val="21"/>
          <w:szCs w:val="21"/>
          <w:lang w:bidi="ar"/>
        </w:rPr>
      </w:pPr>
    </w:p>
    <w:p>
      <w:pPr>
        <w:keepNext w:val="0"/>
        <w:keepLines w:val="0"/>
        <w:pageBreakBefore w:val="0"/>
        <w:widowControl w:val="0"/>
        <w:shd w:val="clear"/>
        <w:kinsoku/>
        <w:overflowPunct/>
        <w:topLinePunct w:val="0"/>
        <w:autoSpaceDN/>
        <w:bidi w:val="0"/>
        <w:rPr>
          <w:rFonts w:hint="eastAsia" w:ascii="宋体" w:hAnsi="宋体" w:eastAsia="宋体" w:cs="宋体"/>
          <w:color w:val="000000"/>
          <w:sz w:val="21"/>
          <w:szCs w:val="21"/>
          <w:lang w:bidi="ar"/>
        </w:rPr>
      </w:pPr>
    </w:p>
    <w:p>
      <w:pPr>
        <w:pStyle w:val="11"/>
        <w:keepNext w:val="0"/>
        <w:keepLines w:val="0"/>
        <w:pageBreakBefore w:val="0"/>
        <w:widowControl w:val="0"/>
        <w:shd w:val="clear"/>
        <w:kinsoku/>
        <w:overflowPunct/>
        <w:topLinePunct w:val="0"/>
        <w:autoSpaceDE w:val="0"/>
        <w:autoSpaceDN/>
        <w:bidi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2112AE3"/>
    <w:rsid w:val="03E3214F"/>
    <w:rsid w:val="04446191"/>
    <w:rsid w:val="044C50BA"/>
    <w:rsid w:val="06A2550B"/>
    <w:rsid w:val="06EC145E"/>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FD3B60"/>
    <w:rsid w:val="0F836721"/>
    <w:rsid w:val="103645A3"/>
    <w:rsid w:val="107B59E5"/>
    <w:rsid w:val="11003CB0"/>
    <w:rsid w:val="111445C7"/>
    <w:rsid w:val="1158083A"/>
    <w:rsid w:val="11F03528"/>
    <w:rsid w:val="12C921C4"/>
    <w:rsid w:val="131075B7"/>
    <w:rsid w:val="13850DCB"/>
    <w:rsid w:val="13871C70"/>
    <w:rsid w:val="13A71CB4"/>
    <w:rsid w:val="13AF1D43"/>
    <w:rsid w:val="13C643C6"/>
    <w:rsid w:val="13CE1647"/>
    <w:rsid w:val="141A11EA"/>
    <w:rsid w:val="14200702"/>
    <w:rsid w:val="148E377E"/>
    <w:rsid w:val="1580711B"/>
    <w:rsid w:val="186243D8"/>
    <w:rsid w:val="189B0D0B"/>
    <w:rsid w:val="194A1770"/>
    <w:rsid w:val="19917D9C"/>
    <w:rsid w:val="19B906A4"/>
    <w:rsid w:val="1A1F744B"/>
    <w:rsid w:val="1A4854EC"/>
    <w:rsid w:val="1ABA3501"/>
    <w:rsid w:val="1B6F15B6"/>
    <w:rsid w:val="1BAA2EDC"/>
    <w:rsid w:val="1CE157EE"/>
    <w:rsid w:val="1D014A01"/>
    <w:rsid w:val="1D022362"/>
    <w:rsid w:val="1DD26311"/>
    <w:rsid w:val="1EF67CA4"/>
    <w:rsid w:val="1FCD26AF"/>
    <w:rsid w:val="20642787"/>
    <w:rsid w:val="21556F04"/>
    <w:rsid w:val="22403BD3"/>
    <w:rsid w:val="245A195E"/>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BFB32CA"/>
    <w:rsid w:val="2C161D32"/>
    <w:rsid w:val="2C2D3EC7"/>
    <w:rsid w:val="2C6762A3"/>
    <w:rsid w:val="2D8D2A49"/>
    <w:rsid w:val="2FE029D7"/>
    <w:rsid w:val="2FF06E00"/>
    <w:rsid w:val="315D199F"/>
    <w:rsid w:val="315F0B22"/>
    <w:rsid w:val="31D84415"/>
    <w:rsid w:val="32285F6F"/>
    <w:rsid w:val="32770556"/>
    <w:rsid w:val="329C0913"/>
    <w:rsid w:val="3337290D"/>
    <w:rsid w:val="34C935CD"/>
    <w:rsid w:val="352930DB"/>
    <w:rsid w:val="35573069"/>
    <w:rsid w:val="358C217E"/>
    <w:rsid w:val="359F188C"/>
    <w:rsid w:val="362D2433"/>
    <w:rsid w:val="36923BB5"/>
    <w:rsid w:val="36C9128A"/>
    <w:rsid w:val="37841E99"/>
    <w:rsid w:val="37BF1123"/>
    <w:rsid w:val="37F26E25"/>
    <w:rsid w:val="387E64E7"/>
    <w:rsid w:val="38BE4696"/>
    <w:rsid w:val="39166507"/>
    <w:rsid w:val="39B82A39"/>
    <w:rsid w:val="39F33306"/>
    <w:rsid w:val="3B1705E5"/>
    <w:rsid w:val="3B18334B"/>
    <w:rsid w:val="3B36794F"/>
    <w:rsid w:val="3B544954"/>
    <w:rsid w:val="3BF014AD"/>
    <w:rsid w:val="3C6A5B02"/>
    <w:rsid w:val="3C6C368E"/>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52E4B6B"/>
    <w:rsid w:val="465B470D"/>
    <w:rsid w:val="469D6AD4"/>
    <w:rsid w:val="47674801"/>
    <w:rsid w:val="48225EF7"/>
    <w:rsid w:val="495C4A24"/>
    <w:rsid w:val="4AD70EE7"/>
    <w:rsid w:val="4B7951CB"/>
    <w:rsid w:val="4B7C315C"/>
    <w:rsid w:val="4BAB7F90"/>
    <w:rsid w:val="4DAC4ACA"/>
    <w:rsid w:val="4DD80DD4"/>
    <w:rsid w:val="4F186D58"/>
    <w:rsid w:val="50EC262C"/>
    <w:rsid w:val="522F6E0C"/>
    <w:rsid w:val="52463BA1"/>
    <w:rsid w:val="53C0244D"/>
    <w:rsid w:val="53DD4D4E"/>
    <w:rsid w:val="53E578CE"/>
    <w:rsid w:val="543B029D"/>
    <w:rsid w:val="544418C9"/>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1A63465"/>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86032F0"/>
    <w:rsid w:val="692172FD"/>
    <w:rsid w:val="69881641"/>
    <w:rsid w:val="6A3829EE"/>
    <w:rsid w:val="6B474EF5"/>
    <w:rsid w:val="6C1E6768"/>
    <w:rsid w:val="6C560CAE"/>
    <w:rsid w:val="6D0615E4"/>
    <w:rsid w:val="6D903FF5"/>
    <w:rsid w:val="6DA955B8"/>
    <w:rsid w:val="6DE346AB"/>
    <w:rsid w:val="6F7F6A2D"/>
    <w:rsid w:val="6FB442D1"/>
    <w:rsid w:val="6FFB2E76"/>
    <w:rsid w:val="71C31417"/>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D3C22FB"/>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5">
    <w:name w:val="正文-公1"/>
    <w:basedOn w:val="16"/>
    <w:next w:val="1"/>
    <w:qFormat/>
    <w:uiPriority w:val="0"/>
    <w:pPr>
      <w:ind w:firstLine="200" w:firstLine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9</TotalTime>
  <ScaleCrop>false</ScaleCrop>
  <LinksUpToDate>false</LinksUpToDate>
  <CharactersWithSpaces>21460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cp:lastModifiedBy>
  <dcterms:modified xsi:type="dcterms:W3CDTF">2025-09-17T02:04:10Z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9EDAFD8FD9424A54844071572B3E9A06_13</vt:lpwstr>
  </property>
</Properties>
</file>