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巫溪县国有资产监督管理中心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ascii="黑体" w:hAnsi="黑体" w:eastAsia="黑体" w:cs="黑体"/>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一、单位基本情况</w:t>
      </w:r>
    </w:p>
    <w:p>
      <w:pPr>
        <w:keepNext w:val="0"/>
        <w:keepLines w:val="0"/>
        <w:pageBreakBefore w:val="0"/>
        <w:widowControl/>
        <w:shd w:val="clear" w:color="auto" w:fill="FFFFFF"/>
        <w:kinsoku/>
        <w:overflowPunct/>
        <w:topLinePunct w:val="0"/>
        <w:autoSpaceDN/>
        <w:bidi w:val="0"/>
        <w:adjustRightInd/>
        <w:spacing w:before="100" w:beforeAutospacing="0" w:after="100" w:afterAutospacing="0" w:line="578" w:lineRule="exact"/>
        <w:ind w:firstLine="640" w:firstLineChars="200"/>
        <w:jc w:val="left"/>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（一）职能职责</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1.</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依照《中华人民共和国公司法》，对县属国有及国有控股企业（以下统称</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国有企业</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）进行监督管理，维护出资人权益，防止国有资产流失。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2.</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贯彻执行企业国有资产管理的有关法律、法规和政策；制定国有企业的监管制度、规定等规范性文件。贯彻执行党和国家有关银行、保险、信托等金融工作的法律法规和方针政策，制定全县金融及金融产业发展的中短期规划和工作计划。研究分析全县金融运行和行业发展动态，及时提出金融决策参考意见和建议。</w:t>
      </w:r>
    </w:p>
    <w:p>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3.</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负责改革的事务性工作，指导推进国有企业改革和重组，推动国有经济布局和结构战略性调整，建立符合社会主义市场经济体制和现代国有企业制度要求的选人用人机制。完善公司治理结构，依法派出董事、监事，加强对委派董事、监事的履职管理和考核。</w:t>
      </w:r>
    </w:p>
    <w:p>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4.</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负责国有企业资产配置、使用、处置、产权变动、产权登记、产权界定、产权纠纷调处、清产核资等具体工作，负责监督国有企业上交国有资本经营预算收入。</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kern w:val="0"/>
          <w:sz w:val="32"/>
          <w:szCs w:val="32"/>
          <w:shd w:val="clear" w:fill="FFFFFF"/>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5.</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负责国有企业经营指标的统计监测工作，国有企业经营和运营质量分析工作。负责国有企业投资计划备案审核、国有企业经营预算编制、债务管控、财务监管工作。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6.</w:t>
      </w:r>
      <w:r>
        <w:rPr>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负责国有企业综合考核及国有企业领导人员考核的具体工作，按照国有企业薪酬改革政策核定国有企业负责人薪酬及员工工资总额，完善激励和约束机制。</w:t>
      </w:r>
    </w:p>
    <w:p>
      <w:pPr>
        <w:keepNext w:val="0"/>
        <w:keepLines w:val="0"/>
        <w:pageBreakBefore w:val="0"/>
        <w:widowControl/>
        <w:shd w:val="clear" w:color="auto" w:fill="FFFFFF"/>
        <w:kinsoku/>
        <w:overflowPunct/>
        <w:topLinePunct w:val="0"/>
        <w:autoSpaceDN/>
        <w:bidi w:val="0"/>
        <w:adjustRightInd/>
        <w:spacing w:before="100" w:beforeAutospacing="0" w:after="100" w:afterAutospacing="0" w:line="578" w:lineRule="exact"/>
        <w:ind w:firstLine="640" w:firstLineChars="200"/>
        <w:jc w:val="left"/>
        <w:rPr>
          <w:rFonts w:hint="default" w:ascii="Times New Roman" w:hAnsi="Times New Roman" w:eastAsia="方正仿宋_GBK"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lang w:val="en-US" w:eastAsia="zh-CN" w:bidi="ar"/>
          <w14:textFill>
            <w14:solidFill>
              <w14:schemeClr w14:val="tx1"/>
            </w14:solidFill>
          </w14:textFill>
        </w:rPr>
        <w:t>7.</w:t>
      </w:r>
      <w:r>
        <w:rPr>
          <w:rFonts w:hint="eastAsia" w:ascii="Times New Roman" w:hAnsi="Times New Roman" w:eastAsia="方正仿宋_GBK" w:cs="Times New Roman"/>
          <w:b w:val="0"/>
          <w:bCs w:val="0"/>
          <w:color w:val="000000" w:themeColor="text1"/>
          <w:kern w:val="0"/>
          <w:sz w:val="32"/>
          <w:szCs w:val="32"/>
          <w:highlight w:val="none"/>
          <w:lang w:val="en-US" w:eastAsia="zh-CN" w:bidi="ar"/>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0"/>
          <w:sz w:val="32"/>
          <w:szCs w:val="32"/>
          <w:highlight w:val="none"/>
          <w:lang w:val="en-US" w:eastAsia="zh-CN" w:bidi="ar"/>
          <w14:textFill>
            <w14:solidFill>
              <w14:schemeClr w14:val="tx1"/>
            </w14:solidFill>
          </w14:textFill>
        </w:rPr>
        <w:t>积极协助上级监管机构对我县金融机构的管理或监管。研究建立地方金融安全区的政策和措施，促进金融安全。 负责收集全县金融、保险、证券系统的业务报表和业务统计工作；负责对全县的区域性股权市场、典当行、小额贷款、融资担保、融资租赁、商业保理等机构和民营贷款公司的监督管理、设立、资格初审、备案、变更、退出等工作。参与拟订政策性金融、普惠金融有关政策，营造良好金融生态环境，推动发展普惠金融，推进农村金融改革和发展。</w:t>
      </w:r>
    </w:p>
    <w:p>
      <w:pPr>
        <w:keepNext w:val="0"/>
        <w:keepLines w:val="0"/>
        <w:pageBreakBefore w:val="0"/>
        <w:widowControl/>
        <w:shd w:val="clear" w:color="auto" w:fill="FFFFFF"/>
        <w:kinsoku/>
        <w:overflowPunct/>
        <w:topLinePunct w:val="0"/>
        <w:autoSpaceDN/>
        <w:bidi w:val="0"/>
        <w:adjustRightInd/>
        <w:spacing w:before="100" w:beforeAutospacing="0" w:after="10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巫溪县国有资产监督管理中心内设机构有：综合管理科、国资运营科、财务稽查科、企业科共</w:t>
      </w:r>
      <w:r>
        <w:rPr>
          <w:rFonts w:hint="default" w:ascii="Times New Roman" w:hAnsi="Times New Roman" w:eastAsia="方正仿宋_GBK" w:cs="Times New Roman"/>
          <w:b w:val="0"/>
          <w:bCs w:val="0"/>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个科室。</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二、单位决算收支情况说明</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（一）收入支出决算总体情况说明。</w:t>
      </w:r>
    </w:p>
    <w:p>
      <w:pPr>
        <w:keepNext w:val="0"/>
        <w:keepLines w:val="0"/>
        <w:pageBreakBefore w:val="0"/>
        <w:widowControl/>
        <w:shd w:val="clear" w:color="auto" w:fill="FFFFFF"/>
        <w:kinsoku/>
        <w:overflowPunct/>
        <w:topLinePunct w:val="0"/>
        <w:autoSpaceDN/>
        <w:bidi w:val="0"/>
        <w:adjustRightInd/>
        <w:spacing w:before="100" w:beforeAutospacing="0" w:after="100" w:afterAutospacing="0" w:line="578" w:lineRule="exact"/>
        <w:ind w:firstLine="640" w:firstLineChars="200"/>
        <w:jc w:val="left"/>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1.</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总体情况。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2024年度收入总计7613.56万元，支出总计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7613.56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万元。收、支与2023年度相比，减少2311.48万元，下降23.3%，主要原因是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减少</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巫溪县冷链物流中心基础设施建设项目配套资金</w:t>
      </w:r>
      <w:r>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收入情况。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2024年度收入合计7613.56万元，与2023年度相比，减少2311.48万元，下降23.3%，主要原因是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减少</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巫溪县冷链物流中心基础设施建设项目配套资金</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。其中：财政拨款收入</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7613.56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100.00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%；事业收入</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万元，占0.00%；经营收入</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万元，占0.00%；其他收入</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万元，占0.00%。此外，使用非财政拨款结余和专用结余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万元，年初结转和结余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3.</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支出情况。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2024年度支出合计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7613.56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万元，与2023年度相比，减少2311.48万元，下降23.3%，主要原因是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减少</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巫溪县冷链物流中心基础设施建设项目配套资金。</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其中：基本支出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246.32</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万元，占3.24%；项目支出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7367.24</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万元，占96.76%；经营支出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万元，占0.00%。此外，结余分配</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4.</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结转结余情况。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2024年度年末结转和结余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万元，与2023年度相比，无增减</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（二）财政拨款收入支出决算总体情况说明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2024年度财政拨款收、支总计7613.56万元。与2023年相比，财政拨款收、支总计各减少2311.48万元，下降23.3%。主要原因</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减少</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巫溪县冷链物流中心基础设施建设项目配套资金。</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（三）一般公共预算财政拨款收入支出决算情况说明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1.</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收入情况。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2024年度一般公共预算财政拨款收入</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7613.56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万元，与2023年度相比，减少2311.48万元，下降23.3%。主要原因是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减少</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巫溪县冷链物流中心基础设施建设项目配套资金。</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较年初预算数增加7313.86万元，增长2440.4%。主要原因一是</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本年度新增</w:t>
      </w:r>
      <w:r>
        <w:rPr>
          <w:rFonts w:hint="eastAsia"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个项目资金</w:t>
      </w:r>
      <w:r>
        <w:rPr>
          <w:rFonts w:hint="eastAsia"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7283.7</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万元，其中：</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巫溪县工业园区农产品流通中心及配套基础设施项目230万元、2024年物流园区至通城片区乡村振兴提升工程</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项目</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4270万元、巫溪县2024年度易地扶贫搬迁贷款贴息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项目</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2772万元</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和</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2022-2023年其他服务业升规升限补助11.7万元；二是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是工资变动、部分人员职级晋升等。</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此外，年初财政拨款结转和结余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支出情况。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2024年度一般公共预算财政拨款支出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7613.56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万元，与2023年度相比，减少2311.48万元，下降23.3%。主要原因</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减少</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巫溪县冷链物流中心基础设施建设项目配套资金。</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较年初预算数增加7313.86万元，增长2440.4%。主要原因一是</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本年度新增4个项目资金</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7283.7万元，其中：</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巫溪县工业园区农产品流通中心及配套基础设施项目230万元、2024年物流园区至通城片区乡村振兴提升工程</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项目</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4270万元、巫溪县2024年度易地扶贫搬迁贷款贴息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项目</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2772万元</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和</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2022-2023年其他服务业升规升限补助11.7万元；二是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是工资变动、部分人员职级晋升等。</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3.</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结转结余情况。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2024年度年末一般公共预算财政拨款结转和结余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万元，与2023年度相比，无增减。</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4.</w:t>
      </w:r>
      <w:r>
        <w:rPr>
          <w:rStyle w:val="9"/>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Style w:val="9"/>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比较情况。</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本单位2024年度一般公共预算财政拨款支出主要用于以下几个方面：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（1）一般公共服务支出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263.14</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3.46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%，较年初预算数增加32.20万元，增长13.9%，主要原因是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工资变动、部分人员职级晋升等。</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（2）社会保障与就业支出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35.32</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0.46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%，较年初预算数减少0.54万元，下降1.5%，主要原因是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调出人员1人</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（3）卫生健康支出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12.74</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0.17</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%，较年初预算数减少1.23万元，下降8.8%，主要原因是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调出人员1人</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（4）城乡社区支出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230.00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3.02</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%，较年初预算数增加230.00万元，增长100.0%，主要原因是增加巫溪县工业园区农产品流通中心及配套基础设施项目拨款230.00万元。</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（5）农林水支出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7042.00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92.49</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%，较年初预算数增加7042.00万元，增长100.0%，主要原因</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是增加2024年物流园区至通城片区乡村振兴提升工程项目拨款4270万元和增加巫溪县2024年度易地扶贫搬迁贷款贴息项目拨款2772万元。</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（6）资源勘探信息等支出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11.70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0.15</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%，较年初预算数增加11.70万元，增长100.0%，主要原因是拨付2022-2023年其他服务业升规升限补助</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11.7万元</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ab/>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autoSpaceDN/>
        <w:bidi w:val="0"/>
        <w:adjustRightInd/>
        <w:spacing w:beforeAutospacing="0" w:afterAutospacing="0" w:line="578" w:lineRule="exact"/>
        <w:ind w:firstLine="640" w:firstLineChars="200"/>
        <w:jc w:val="left"/>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住房保障支出18.65</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万元，占</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0.25</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%，较年初预算数减少0.27万元，下降1.4%，主要原因是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调出人员1人</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（四）一般公共预算财政拨款基本支出决算情况说明</w:t>
      </w:r>
    </w:p>
    <w:p>
      <w:pPr>
        <w:keepNext w:val="0"/>
        <w:keepLines w:val="0"/>
        <w:pageBreakBefore w:val="0"/>
        <w:widowControl/>
        <w:kinsoku/>
        <w:overflowPunct/>
        <w:topLinePunct w:val="0"/>
        <w:autoSpaceDN/>
        <w:bidi w:val="0"/>
        <w:adjustRightInd/>
        <w:spacing w:beforeAutospacing="0" w:afterAutospacing="0" w:line="578" w:lineRule="exact"/>
        <w:ind w:firstLine="640" w:firstLineChars="200"/>
        <w:jc w:val="left"/>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 </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eastAsia="zh-CN"/>
          <w14:textFill>
            <w14:solidFill>
              <w14:schemeClr w14:val="tx1"/>
            </w14:solidFill>
          </w14:textFill>
        </w:rPr>
        <w:t>2024年</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246.32</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万元。其中：人员经费</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211.44</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万元，与2023年度相比，减少20.31万元，下降8.8%，主要原因是</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bidi="ar-SA"/>
          <w14:textFill>
            <w14:solidFill>
              <w14:schemeClr w14:val="tx1"/>
            </w14:solidFill>
          </w14:textFill>
        </w:rPr>
        <w:t>调出人员1人等</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。人员经费用途主要包括</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统发工资、规范津补贴、工伤保险（行政）、一次性奖金、公务员年度考核奖、公务员基础绩效奖、统发其他津补贴、离退休健康休养、养老保险、职业年金、医疗保险（行政）、职工住房公积金等</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。公用经费</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34.88</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万元，与2023年度相比，增加7.68万元，增长28.2%，主要原因是</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增加</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工作人员</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1名。</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公用经费用途主要包括工会经费（行政）</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eastAsia="zh-CN"/>
          <w14:textFill>
            <w14:solidFill>
              <w14:schemeClr w14:val="tx1"/>
            </w14:solidFill>
          </w14:textFill>
        </w:rPr>
        <w:t>、福利费（行政）、公车改革补贴、公用经费定额（行</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政）</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（五）政府性基金预算收支决算情况说明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2024年度政府性基金预算财政拨款年初结转结余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万元，年末结转结余</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万元。本单位2024年度无政府性基金预算财政拨款收支。</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（六）国有资本经营预算财政拨款支出决算情况说明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本单位2024年度无国有资本经营预算财政拨款支出。</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三、财政拨款</w:t>
      </w:r>
      <w:r>
        <w:rPr>
          <w:rStyle w:val="9"/>
          <w:rFonts w:hint="eastAsia"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三公</w:t>
      </w:r>
      <w:r>
        <w:rPr>
          <w:rStyle w:val="9"/>
          <w:rFonts w:hint="eastAsia"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经费情况说明</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（一）</w:t>
      </w:r>
      <w:r>
        <w:rPr>
          <w:rFonts w:hint="eastAsia"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三公</w:t>
      </w:r>
      <w:r>
        <w:rPr>
          <w:rFonts w:hint="eastAsia"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经费支出总体情况说明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三公</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经费支出共计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3.03</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万元，较年初预算数减少0.97万元，下降24.3%，主要原因是我中心本着厉行节约的原则压减支出。较上年支出数减少0.08万元，下降2.6%，主要原因是我中心本着厉行节约的原则压减支出。</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（二）</w:t>
      </w:r>
      <w:r>
        <w:rPr>
          <w:rFonts w:hint="eastAsia"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三公</w:t>
      </w:r>
      <w:r>
        <w:rPr>
          <w:rFonts w:hint="eastAsia"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经费分项支出情况</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2024年度本单位因公出国（境）费用</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万元；费用支出较年初预算数无增减；较上年支出数无增减。</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公务车购置费0.00万元；费用支出较年初预算数无增减；较上年支出数无增减。</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公务车运行维护费1.76万元，主要用于市内因公出行、国资国企监管、金融协调服务工作、打击非法集资、帮扶、查看项目现场等工作的燃料费、维修费、过桥过路费、保险费等。费用支出较年初预算数减少0.24万元，下降12.0%，主要原因是中心本着厉行节约的原则压减支出。较上年支出数减少0.06万元，下降3.3%，主要原因是中心本着厉行节约的原则压减支出。</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公务接待费1.28万元，主要用于于国企、金融相关工作对接、培训及年度考核工作等支出。费用支出较年初预算数减少0.72万元，下降36.0%，主要原因是接待公务接待次数减少。较上年支出数减少0.01万元，下降0.8%，主要原因是接待公务接待次数减少。</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w:t>
      </w:r>
      <w:r>
        <w:rPr>
          <w:rFonts w:hint="eastAsia"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三公</w:t>
      </w:r>
      <w:r>
        <w:rPr>
          <w:rFonts w:hint="eastAsia"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经费实物量情况</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2024年度本单位因公出国（境）共计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个团组，</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人；公务用车购置</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辆，公务车保有量为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辆；国内公务接待</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50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批次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284</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人，其中：国内外事接待</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批次，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人；国（境）外公务接待</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批次，</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人。2024年本单位人均接待费</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45.00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元，车均购置费</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万元，车均维护费</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1.76</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四、其他需要说明的事项</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（一）财政拨款会议费和培训费情况说明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本年度会议费支出</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0.14</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万元，与2023年度相比，无增减。本年度培训费支出</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0.33</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万元，与2023年度相比，减少0.01万元，下降2.9%，主要原因是主要原因是</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严格执行党政机关过紧日子要求，</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14:textFill>
            <w14:solidFill>
              <w14:schemeClr w14:val="tx1"/>
            </w14:solidFill>
          </w14:textFill>
        </w:rPr>
        <w:t>减少培训次数</w:t>
      </w:r>
      <w:r>
        <w:rPr>
          <w:rFonts w:hint="default" w:ascii="Times New Roman" w:hAnsi="Times New Roman" w:eastAsia="方正仿宋_GBK" w:cs="Times New Roman"/>
          <w:b w:val="0"/>
          <w:bCs w:val="0"/>
          <w:color w:val="000000" w:themeColor="text1"/>
          <w:kern w:val="0"/>
          <w:sz w:val="32"/>
          <w:szCs w:val="32"/>
          <w:highlight w:val="none"/>
          <w:shd w:val="clear" w:color="auto" w:fill="FFFFFF"/>
          <w14:textFill>
            <w14:solidFill>
              <w14:schemeClr w14:val="tx1"/>
            </w14:solidFill>
          </w14:textFill>
        </w:rPr>
        <w:t>。</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（二）机关运行经费情况说明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2024年度本单位机关运行经费支出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34.88</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机关运行经费主要用于开支工会经费（行政）0.35万元、福利费（行政）1.1764万元、公车改革补贴10.44万元、公用经费定额（行政）22.9097万元。机关运行经费较上年支出数增加7.68万元，增长28.2%，主要原因是增加西部计划志愿者1名。</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（三）国有资产占用情况说明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截至2024年12月31日，本单位共有车辆</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辆，其中，副部（省）级及以上领导用车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辆、主要负责人用车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辆、机要通信用车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辆、应急保障用车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辆、执法执勤用车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辆，特种专业技术用车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辆，离退休干部用车</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辆。单价100万元（含）以上专用设备</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台（套）。</w:t>
      </w:r>
    </w:p>
    <w:p>
      <w:pPr>
        <w:keepNext w:val="0"/>
        <w:keepLines w:val="0"/>
        <w:pageBreakBefore w:val="0"/>
        <w:widowControl/>
        <w:kinsoku/>
        <w:overflowPunct/>
        <w:topLinePunct w:val="0"/>
        <w:autoSpaceDE w:val="0"/>
        <w:autoSpaceDN/>
        <w:bidi w:val="0"/>
        <w:adjustRightInd/>
        <w:spacing w:beforeAutospacing="0" w:afterAutospacing="0" w:line="578" w:lineRule="exact"/>
        <w:ind w:firstLine="640" w:firstLineChars="200"/>
        <w:jc w:val="left"/>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（四）政府采购支出情况说明</w:t>
      </w:r>
    </w:p>
    <w:p>
      <w:pPr>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2024年度本单位政府采购支出总额</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0.62</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万元，其中：政府采购货物支出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0.62</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万元、政府采购工程支出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万元、政府采购服务支出</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万元。授予中小企业合同金额</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0.62万</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元，占政府采购支出总额的</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100.00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%，其中：授予小微企业合同金额</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0.62</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万元，占政府采购支出总额的</w:t>
      </w:r>
      <w:r>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t>100.00</w:t>
      </w:r>
      <w:r>
        <w:rPr>
          <w:rFonts w:hint="default"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 xml:space="preserve"> %。</w:t>
      </w:r>
      <w:r>
        <w:rPr>
          <w:rFonts w:hint="eastAsia" w:ascii="Times New Roman" w:hAnsi="Times New Roman" w:eastAsia="方正仿宋_GBK" w:cs="Times New Roman"/>
          <w:b w:val="0"/>
          <w:bCs w:val="0"/>
          <w:color w:val="000000" w:themeColor="text1"/>
          <w:kern w:val="0"/>
          <w:sz w:val="32"/>
          <w:szCs w:val="32"/>
          <w:highlight w:val="none"/>
          <w:shd w:val="clear" w:color="auto" w:fill="FFFFFF"/>
          <w:lang w:val="en-US" w:eastAsia="zh-CN" w:bidi="ar-SA"/>
          <w14:textFill>
            <w14:solidFill>
              <w14:schemeClr w14:val="tx1"/>
            </w14:solidFill>
          </w14:textFill>
        </w:rPr>
        <w:t>按照政府采购相关要求，在政府采购网采购办公用品。</w:t>
      </w:r>
    </w:p>
    <w:p>
      <w:pPr>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default" w:ascii="Times New Roman" w:hAnsi="Times New Roman" w:eastAsia="黑体" w:cs="Times New Roman"/>
          <w:b w:val="0"/>
          <w:bCs w:val="0"/>
          <w:color w:val="000000" w:themeColor="text1"/>
          <w:sz w:val="32"/>
          <w:szCs w:val="32"/>
          <w:highlight w:val="none"/>
          <w:shd w:val="clear" w:color="auto" w:fill="FFFFFF"/>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五、2024年度预算绩效管理情况说明</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楷体"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fill="FFFFFF"/>
          <w:lang w:val="en-US" w:eastAsia="zh-CN" w:bidi="ar-SA"/>
          <w14:textFill>
            <w14:solidFill>
              <w14:schemeClr w14:val="tx1"/>
            </w14:solidFill>
          </w14:textFill>
        </w:rPr>
        <w:t>（一）单位自评情况</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应当参照如下格式说明：根据预算绩效管理要求，我部门（单位）对部门整体和8个一级项目开展了绩效自评，涉及财政拨款项目支出资金7367.24万元。</w:t>
      </w: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pStyle w:val="2"/>
        <w:widowControl/>
        <w:jc w:val="left"/>
        <w:rPr>
          <w:rFonts w:hint="default"/>
          <w:b w:val="0"/>
          <w:bCs w:val="0"/>
          <w:kern w:val="0"/>
          <w:highlight w:val="none"/>
          <w:lang w:val="en-US" w:eastAsia="zh-CN"/>
        </w:rPr>
      </w:pPr>
    </w:p>
    <w:p>
      <w:pPr>
        <w:widowControl/>
        <w:jc w:val="left"/>
        <w:rPr>
          <w:rFonts w:hint="default" w:ascii="宋体" w:hAnsi="宋体" w:eastAsia="宋体" w:cs="Times New Roman"/>
          <w:b w:val="0"/>
          <w:bCs w:val="0"/>
          <w:kern w:val="0"/>
          <w:sz w:val="24"/>
          <w:highlight w:val="none"/>
          <w:lang w:val="en-US" w:eastAsia="zh-CN"/>
        </w:rPr>
      </w:pP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default" w:ascii="宋体" w:hAnsi="宋体" w:eastAsia="宋体" w:cs="Times New Roman"/>
          <w:b w:val="0"/>
          <w:bCs w:val="0"/>
          <w:sz w:val="24"/>
          <w:szCs w:val="24"/>
          <w:highlight w:val="none"/>
          <w:lang w:val="en-US" w:eastAsia="zh-CN" w:bidi="ar-SA"/>
        </w:rPr>
      </w:pP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部门整体绩效自评表</w:t>
      </w:r>
    </w:p>
    <w:p>
      <w:pPr>
        <w:rPr>
          <w:rFonts w:hint="default"/>
          <w:b w:val="0"/>
          <w:bCs w:val="0"/>
          <w:highlight w:val="none"/>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heme="minorHAnsi" w:hAnsiTheme="minorHAnsi" w:eastAsiaTheme="minorEastAsia" w:cstheme="minorBidi"/>
          <w:b w:val="0"/>
          <w:bCs w:val="0"/>
          <w:kern w:val="2"/>
          <w:sz w:val="21"/>
          <w:highlight w:val="none"/>
          <w:lang w:val="en-US" w:eastAsia="zh-CN"/>
        </w:rPr>
        <w:object>
          <v:shape id="_x0000_i1025" o:spt="75" type="#_x0000_t75" style="height:639.9pt;width:487.75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项目支出绩效自评表</w:t>
      </w:r>
    </w:p>
    <w:p>
      <w:pPr>
        <w:pStyle w:val="2"/>
        <w:widowControl/>
        <w:ind w:left="0" w:leftChars="0" w:firstLine="0" w:firstLineChars="0"/>
        <w:jc w:val="left"/>
        <w:rPr>
          <w:rFonts w:hint="default"/>
          <w:b w:val="0"/>
          <w:bCs w:val="0"/>
          <w:kern w:val="0"/>
          <w:highlight w:val="none"/>
        </w:rPr>
      </w:pPr>
      <w:r>
        <w:rPr>
          <w:rFonts w:hint="default"/>
          <w:b w:val="0"/>
          <w:bCs w:val="0"/>
          <w:kern w:val="0"/>
          <w:highlight w:val="none"/>
        </w:rPr>
        <w:object>
          <v:shape id="_x0000_i1026" o:spt="75" type="#_x0000_t75" style="height:629.45pt;width:486.6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6" r:id="rId14">
            <o:LockedField>false</o:LockedField>
          </o:OLEObject>
        </w:object>
      </w:r>
    </w:p>
    <w:p>
      <w:pPr>
        <w:widowControl/>
        <w:jc w:val="left"/>
        <w:rPr>
          <w:rFonts w:hint="default" w:ascii="宋体" w:hAnsi="宋体" w:eastAsia="宋体" w:cs="Times New Roman"/>
          <w:b w:val="0"/>
          <w:bCs w:val="0"/>
          <w:kern w:val="0"/>
          <w:sz w:val="24"/>
          <w:highlight w:val="none"/>
        </w:rPr>
      </w:pPr>
    </w:p>
    <w:p>
      <w:pPr>
        <w:widowControl/>
        <w:jc w:val="left"/>
        <w:rPr>
          <w:rFonts w:hint="default" w:ascii="宋体" w:hAnsi="宋体" w:eastAsia="宋体" w:cs="Times New Roman"/>
          <w:b w:val="0"/>
          <w:bCs w:val="0"/>
          <w:kern w:val="0"/>
          <w:sz w:val="24"/>
          <w:highlight w:val="none"/>
        </w:rPr>
      </w:pPr>
      <w:r>
        <w:rPr>
          <w:rFonts w:hint="default" w:ascii="宋体" w:hAnsi="宋体" w:eastAsia="宋体" w:cs="Times New Roman"/>
          <w:b w:val="0"/>
          <w:bCs w:val="0"/>
          <w:kern w:val="0"/>
          <w:sz w:val="24"/>
          <w:highlight w:val="none"/>
        </w:rPr>
        <w:object>
          <v:shape id="_x0000_i1027" o:spt="75" type="#_x0000_t75" style="height:520.2pt;width:490.4pt;" o:ole="t" filled="f" o:preferrelative="t" stroked="f" coordsize="21600,21600">
            <v:path/>
            <v:fill on="f" focussize="0,0"/>
            <v:stroke on="f"/>
            <v:imagedata r:id="rId17" o:title=""/>
            <o:lock v:ext="edit" aspectratio="f"/>
            <w10:wrap type="none"/>
            <w10:anchorlock/>
          </v:shape>
          <o:OLEObject Type="Embed" ProgID="Excel.Sheet.12" ShapeID="_x0000_i1027" DrawAspect="Content" ObjectID="_1468075727" r:id="rId16">
            <o:LockedField>false</o:LockedField>
          </o:OLEObject>
        </w:object>
      </w:r>
    </w:p>
    <w:p>
      <w:pPr>
        <w:pStyle w:val="2"/>
        <w:widowControl/>
        <w:ind w:left="0" w:leftChars="0" w:firstLine="0" w:firstLineChars="0"/>
        <w:jc w:val="left"/>
        <w:rPr>
          <w:rFonts w:hint="default"/>
          <w:b w:val="0"/>
          <w:bCs w:val="0"/>
          <w:kern w:val="0"/>
          <w:highlight w:val="none"/>
        </w:rPr>
      </w:pPr>
    </w:p>
    <w:p>
      <w:pPr>
        <w:widowControl/>
        <w:jc w:val="both"/>
        <w:rPr>
          <w:rFonts w:hint="default" w:ascii="宋体" w:hAnsi="宋体" w:eastAsia="宋体" w:cs="Times New Roman"/>
          <w:b w:val="0"/>
          <w:bCs w:val="0"/>
          <w:kern w:val="0"/>
          <w:sz w:val="24"/>
          <w:highlight w:val="none"/>
        </w:rPr>
      </w:pP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楷体" w:cs="Times New Roman"/>
          <w:b w:val="0"/>
          <w:bCs w:val="0"/>
          <w:color w:val="000000" w:themeColor="text1"/>
          <w:kern w:val="0"/>
          <w:sz w:val="32"/>
          <w:szCs w:val="32"/>
          <w:highlight w:val="none"/>
          <w:shd w:val="clear" w:fill="FFFFFF"/>
          <w14:textFill>
            <w14:solidFill>
              <w14:schemeClr w14:val="tx1"/>
            </w14:solidFill>
          </w14:textFill>
        </w:rPr>
        <w:sectPr>
          <w:headerReference r:id="rId4" w:type="default"/>
          <w:footerReference r:id="rId5" w:type="default"/>
          <w:pgSz w:w="11917" w:h="16838"/>
          <w:pgMar w:top="1440" w:right="1803" w:bottom="1440" w:left="1803" w:header="850" w:footer="992" w:gutter="0"/>
          <w:pgNumType w:fmt="numberInDash"/>
          <w:cols w:space="0" w:num="1"/>
          <w:rtlGutter w:val="0"/>
          <w:docGrid w:type="lines" w:linePitch="332" w:charSpace="0"/>
        </w:sectPr>
      </w:pP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楷体"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fill="FFFFFF"/>
          <w:lang w:val="en-US" w:eastAsia="zh-CN" w:bidi="ar-SA"/>
          <w14:textFill>
            <w14:solidFill>
              <w14:schemeClr w14:val="tx1"/>
            </w14:solidFill>
          </w14:textFill>
        </w:rPr>
        <w:t>（二）部门绩效评价情况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fill="FFFFFF"/>
          <w14:textFill>
            <w14:solidFill>
              <w14:schemeClr w14:val="tx1"/>
            </w14:solidFill>
          </w14:textFill>
        </w:rPr>
        <w:t>我</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中心</w:t>
      </w:r>
      <w:r>
        <w:rPr>
          <w:rFonts w:hint="default" w:ascii="Times New Roman" w:hAnsi="Times New Roman" w:eastAsia="方正仿宋_GBK" w:cs="Times New Roman"/>
          <w:b w:val="0"/>
          <w:bCs w:val="0"/>
          <w:color w:val="000000" w:themeColor="text1"/>
          <w:kern w:val="0"/>
          <w:sz w:val="32"/>
          <w:szCs w:val="32"/>
          <w:highlight w:val="none"/>
          <w:shd w:val="clear" w:fill="FFFFFF"/>
          <w14:textFill>
            <w14:solidFill>
              <w14:schemeClr w14:val="tx1"/>
            </w14:solidFill>
          </w14:textFill>
        </w:rPr>
        <w:t>对2022-2023年其他服务业升规升限补助、财务补助</w:t>
      </w:r>
      <w:r>
        <w:rPr>
          <w:rFonts w:hint="default" w:ascii="Times New Roman" w:hAnsi="Times New Roman" w:eastAsia="方正仿宋_GBK" w:cs="Times New Roman"/>
          <w:b w:val="0"/>
          <w:bCs w:val="0"/>
          <w:color w:val="000000" w:themeColor="text1"/>
          <w:kern w:val="0"/>
          <w:sz w:val="32"/>
          <w:szCs w:val="32"/>
          <w:highlight w:val="none"/>
          <w:shd w:val="clear" w:fill="FFFFFF"/>
          <w:lang w:eastAsia="zh-CN"/>
          <w14:textFill>
            <w14:solidFill>
              <w14:schemeClr w14:val="tx1"/>
            </w14:solidFill>
          </w14:textFill>
        </w:rPr>
        <w:t>、金融协调与服务、国资国企监管工作、2024年物流园区至通城片区乡村振兴提升工程（溪财发【2024】129号）、巫溪县2024年度易地扶贫搬迁贷款贴息、巫溪县工业园区农产品流通中心及配套基础设施项目</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等</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8个项目</w:t>
      </w:r>
      <w:r>
        <w:rPr>
          <w:rFonts w:hint="default" w:ascii="Times New Roman" w:hAnsi="Times New Roman" w:eastAsia="方正仿宋_GBK" w:cs="Times New Roman"/>
          <w:b w:val="0"/>
          <w:bCs w:val="0"/>
          <w:color w:val="000000" w:themeColor="text1"/>
          <w:kern w:val="0"/>
          <w:sz w:val="32"/>
          <w:szCs w:val="32"/>
          <w:highlight w:val="none"/>
          <w:shd w:val="clear" w:fill="FFFFFF"/>
          <w14:textFill>
            <w14:solidFill>
              <w14:schemeClr w14:val="tx1"/>
            </w14:solidFill>
          </w14:textFill>
        </w:rPr>
        <w:t>开展了绩效评价，涉及财政拨款项目资金</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7367.24</w:t>
      </w:r>
      <w:r>
        <w:rPr>
          <w:rFonts w:hint="default" w:ascii="Times New Roman" w:hAnsi="Times New Roman" w:eastAsia="方正仿宋_GBK" w:cs="Times New Roman"/>
          <w:b w:val="0"/>
          <w:bCs w:val="0"/>
          <w:color w:val="000000" w:themeColor="text1"/>
          <w:kern w:val="0"/>
          <w:sz w:val="32"/>
          <w:szCs w:val="32"/>
          <w:highlight w:val="none"/>
          <w:shd w:val="clear" w:fill="FFFFFF"/>
          <w14:textFill>
            <w14:solidFill>
              <w14:schemeClr w14:val="tx1"/>
            </w14:solidFill>
          </w14:textFill>
        </w:rPr>
        <w:t>万元，评价得分</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100</w:t>
      </w:r>
      <w:r>
        <w:rPr>
          <w:rFonts w:hint="default" w:ascii="Times New Roman" w:hAnsi="Times New Roman" w:eastAsia="方正仿宋_GBK" w:cs="Times New Roman"/>
          <w:b w:val="0"/>
          <w:bCs w:val="0"/>
          <w:color w:val="000000" w:themeColor="text1"/>
          <w:kern w:val="0"/>
          <w:sz w:val="32"/>
          <w:szCs w:val="32"/>
          <w:highlight w:val="none"/>
          <w:shd w:val="clear" w:fill="FFFFFF"/>
          <w14:textFill>
            <w14:solidFill>
              <w14:schemeClr w14:val="tx1"/>
            </w14:solidFill>
          </w14:textFill>
        </w:rPr>
        <w:t>分，评价等次为</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良</w:t>
      </w:r>
      <w:r>
        <w:rPr>
          <w:rFonts w:hint="default" w:ascii="Times New Roman" w:hAnsi="Times New Roman" w:eastAsia="方正仿宋_GBK" w:cs="Times New Roman"/>
          <w:b w:val="0"/>
          <w:bCs w:val="0"/>
          <w:color w:val="000000" w:themeColor="text1"/>
          <w:kern w:val="0"/>
          <w:sz w:val="32"/>
          <w:szCs w:val="32"/>
          <w:highlight w:val="none"/>
          <w:shd w:val="clear" w:fill="FFFFFF"/>
          <w:lang w:eastAsia="zh-CN"/>
          <w14:textFill>
            <w14:solidFill>
              <w14:schemeClr w14:val="tx1"/>
            </w14:solidFill>
          </w14:textFill>
        </w:rPr>
        <w:t>。</w:t>
      </w:r>
    </w:p>
    <w:p>
      <w:pPr>
        <w:pStyle w:val="13"/>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楷体" w:cs="Times New Roman"/>
          <w:b w:val="0"/>
          <w:bCs w:val="0"/>
          <w:color w:val="000000" w:themeColor="text1"/>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0"/>
          <w:sz w:val="32"/>
          <w:szCs w:val="32"/>
          <w:highlight w:val="none"/>
          <w:shd w:val="clear" w:fill="FFFFFF"/>
          <w:lang w:val="en-US" w:eastAsia="zh-CN" w:bidi="ar"/>
          <w14:textFill>
            <w14:solidFill>
              <w14:schemeClr w14:val="tx1"/>
            </w14:solidFill>
          </w14:textFill>
        </w:rPr>
        <w:t>财政绩效评价情况</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14:textFill>
            <w14:solidFill>
              <w14:schemeClr w14:val="tx1"/>
            </w14:solidFill>
          </w14:textFill>
        </w:rPr>
        <w:t>无。</w:t>
      </w:r>
    </w:p>
    <w:p>
      <w:pPr>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sz w:val="32"/>
          <w:szCs w:val="32"/>
          <w:highlight w:val="none"/>
          <w:shd w:val="clear" w:color="auto" w:fill="FFFFFF"/>
          <w:lang w:val="en-US" w:eastAsia="zh-CN" w:bidi="ar-SA"/>
          <w14:textFill>
            <w14:solidFill>
              <w14:schemeClr w14:val="tx1"/>
            </w14:solidFill>
          </w14:textFill>
        </w:rPr>
        <w:t>六、专业名词解释</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（二）年初结转和结余：</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指单位上年结转本年使用的基本支出结转、项目支出结转和结余、经营结余。</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（三）年末结转和结余：</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指单位结转下年的基本支出结转、项目支出结转和结余、经营结余。</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（四）基本支出：</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工资福利支出</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和</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对个人和家庭的补助</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；公用经费指政府收支分类经济科目中除</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工资福利支出</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和</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对个人和家庭的补助</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外的其他支出。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（五）项目支出：</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（六）</w:t>
      </w:r>
      <w:r>
        <w:rPr>
          <w:rStyle w:val="9"/>
          <w:rFonts w:hint="eastAsia"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w:t>
      </w: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三公</w:t>
      </w:r>
      <w:r>
        <w:rPr>
          <w:rStyle w:val="9"/>
          <w:rFonts w:hint="eastAsia"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w:t>
      </w: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经费：</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（七）机关运行经费：</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（八）工资福利支出（支出经济分类科目类级）：</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（九）商品和服务支出（支出经济分类科目类级）：</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反映单位购买商品和服务的支出（不包括用于购置固定资产的支出、战略性和应急储备支出）。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（十）对个人和家庭的补助（支出经济分类科目类级）：</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反映用于对个人和家庭的补助支出。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楷体" w:cs="Times New Roman"/>
          <w:b w:val="0"/>
          <w:bCs w:val="0"/>
          <w:color w:val="000000" w:themeColor="text1"/>
          <w:sz w:val="32"/>
          <w:szCs w:val="32"/>
          <w:highlight w:val="none"/>
          <w:shd w:val="clear" w:color="auto" w:fill="FFFFFF"/>
          <w:lang w:val="en-US" w:eastAsia="zh-CN" w:bidi="ar-SA"/>
          <w14:textFill>
            <w14:solidFill>
              <w14:schemeClr w14:val="tx1"/>
            </w14:solidFill>
          </w14:textFill>
        </w:rPr>
        <w:t>（十一）其他资本性支出（支出经济分类科目类级）：</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lang w:val="en-US" w:eastAsia="zh-CN" w:bidi="ar-SA"/>
          <w14:textFill>
            <w14:solidFill>
              <w14:schemeClr w14:val="tx1"/>
            </w14:solidFill>
          </w14:textFill>
        </w:rPr>
      </w:pPr>
      <w:r>
        <w:rPr>
          <w:rStyle w:val="9"/>
          <w:rFonts w:hint="default" w:ascii="Times New Roman" w:hAnsi="Times New Roman" w:eastAsia="黑体" w:cs="Times New Roman"/>
          <w:b w:val="0"/>
          <w:bCs w:val="0"/>
          <w:color w:val="000000" w:themeColor="text1"/>
          <w:sz w:val="32"/>
          <w:szCs w:val="32"/>
          <w:highlight w:val="none"/>
          <w:shd w:val="clear" w:color="auto" w:fill="FFFFFF"/>
          <w:lang w:val="en-US" w:eastAsia="zh-CN" w:bidi="ar-SA"/>
          <w14:textFill>
            <w14:solidFill>
              <w14:schemeClr w14:val="tx1"/>
            </w14:solidFill>
          </w14:textFill>
        </w:rPr>
        <w:t>七、决算公开联系方式及信息反馈渠道</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本单位决算公开信息反馈和联系方式：</w:t>
      </w: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姚正美：</w:t>
      </w:r>
      <w:r>
        <w:rPr>
          <w:rFonts w:hint="default" w:ascii="Times New Roman" w:hAnsi="Times New Roman" w:eastAsia="方正仿宋_GBK" w:cs="Times New Roman"/>
          <w:b w:val="0"/>
          <w:bCs w:val="0"/>
          <w:color w:val="000000" w:themeColor="text1"/>
          <w:kern w:val="0"/>
          <w:sz w:val="32"/>
          <w:szCs w:val="32"/>
          <w:highlight w:val="none"/>
          <w:shd w:val="clear" w:fill="FFFFFF"/>
          <w:lang w:val="en-US" w:eastAsia="zh-CN" w:bidi="ar-SA"/>
          <w14:textFill>
            <w14:solidFill>
              <w14:schemeClr w14:val="tx1"/>
            </w14:solidFill>
          </w14:textFill>
        </w:rPr>
        <w:t>023-51698002</w:t>
      </w:r>
    </w:p>
    <w:p>
      <w:pPr>
        <w:rPr>
          <w:b w:val="0"/>
          <w:bCs w:val="0"/>
        </w:rPr>
        <w:sectPr>
          <w:footerReference r:id="rId6" w:type="default"/>
          <w:pgSz w:w="11850" w:h="16783"/>
          <w:pgMar w:top="2098" w:right="1474" w:bottom="1984" w:left="1587" w:header="0" w:footer="283"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kern w:val="0"/>
          <w:sz w:val="32"/>
          <w:szCs w:val="32"/>
          <w:shd w:val="clear" w:fill="FFFFFF"/>
        </w:r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巫溪县国有资产监督管理中心（本级）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7,613.56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7,613.56</w:t>
            </w:r>
          </w:p>
        </w:tc>
      </w:tr>
    </w:tbl>
    <w:p>
      <w:pPr>
        <w:pStyle w:val="10"/>
        <w:numPr>
          <w:ilvl w:val="0"/>
          <w:numId w:val="0"/>
        </w:numPr>
        <w:autoSpaceDE w:val="0"/>
        <w:rPr>
          <w:rFonts w:hint="eastAsia" w:ascii="宋体" w:hAnsi="宋体" w:eastAsia="宋体" w:cs="宋体"/>
          <w:sz w:val="21"/>
          <w:szCs w:val="21"/>
          <w:lang w:val="en-US" w:eastAsia="zh-CN"/>
        </w:rPr>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巫溪县国有资产监督管理中心（本级）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7,613.56</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7,613.56</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263.14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263.14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7.68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7.68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其他政协事务支出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7.68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7.68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255.47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255.47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179.61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179.61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75.86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75.86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21.84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21.84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11.18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12.74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12.74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4,270.00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4,270.00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贷款奖补和贴息</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2,772.00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2,772.00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11.70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18.65</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巫溪县国有资产监督管理中心（本级）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7,613.56</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246.32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7,367.24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263.14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179.61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83.54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政协事务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其他政协事务支出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7.68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255.47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179.61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75.86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179.61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75.86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75.86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35.32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21.84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21.84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11.18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12.74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12.74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12.74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230.00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230.00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7,042.00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4,270.00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4,270.00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2130507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贷款奖补和贴息</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2,772.00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2,772.00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21508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11.70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2150899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其他支持中小企业发展和管理支出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11.70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18.65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18.65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巫溪县国有资产监督管理中心（本级）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263.14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263.14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35.32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35.32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12.74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12.74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230.00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230.00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7,042.00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7,042.00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11.70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11.70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18.65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18.65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7,613.56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inorEastAsia"/>
                <w:i w:val="0"/>
                <w:iCs w:val="0"/>
                <w:color w:val="000000"/>
                <w:sz w:val="22"/>
                <w:szCs w:val="22"/>
                <w:u w:val="none"/>
              </w:rPr>
            </w:pP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巫溪县国有资产监督管理中心（本级）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7,613.56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246.32</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7,367.24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7,613.56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246.32</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7,367.24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263.14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179.61</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83.54</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263.14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179.61</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83.54</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政协事务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7.68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7.68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7.68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7.68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其他政协事务支出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7.68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7.68</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7.68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7.68</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255.47</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179.61</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75.86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255.47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179.61</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75.86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179.61</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179.61</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179.61</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179.61</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75.86</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75.86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75.86</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75.86</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35.32</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21.84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21.84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21.84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21.84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11.18</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11.18</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11.18</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11.18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12.74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12.74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12.74</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12.74</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12.74</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230.00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230.00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7,042.00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4,270.00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4,270.00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4,270.00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4,270.00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2130507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贷款奖补和贴息</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2,772.00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2,772.00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2,772.00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2,772.00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21508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11.70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2150899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其他支持中小企业发展和管理支出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11.70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11.70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11.70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11.70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18.65</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18.65</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18.65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18.65</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18.65</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巫溪县国有资产监督管理中心（本级）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209.14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34.88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48.50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9.75</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42.29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52.39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21.84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0.80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11.18</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12.74</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1.56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18.65</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2.30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2.10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0.20</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9.53</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1.76</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10.44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center"/>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211.44</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34.88</w:t>
            </w:r>
          </w:p>
        </w:tc>
      </w:tr>
    </w:tbl>
    <w:p>
      <w:pPr>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巫溪县国有资产监督管理中心（本级）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0.00</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巫溪县国有资产监督管理中心（本级）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0.00</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巫溪县国有资产监督管理中心（本级）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284</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0.14</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10.10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9" w:type="default"/>
      <w:footerReference r:id="rId10"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fldChar w:fldCharType="begin"/>
                          </w:r>
                          <w:r>
                            <w:rPr>
                              <w:rFonts w:hint="eastAsia" w:ascii="宋体" w:hAnsi="宋体" w:eastAsia="宋体" w:cs="Times New Roman"/>
                              <w:kern w:val="2"/>
                              <w:sz w:val="18"/>
                              <w:szCs w:val="18"/>
                              <w:lang w:val="en-US" w:eastAsia="zh-CN" w:bidi="ar-SA"/>
                            </w:rPr>
                            <w:instrText xml:space="preserve"> PAGE  \* MERGEFORMAT </w:instrText>
                          </w:r>
                          <w:r>
                            <w:rPr>
                              <w:rFonts w:hint="eastAsia" w:ascii="宋体" w:hAnsi="宋体" w:eastAsia="宋体" w:cs="Times New Roman"/>
                              <w:kern w:val="2"/>
                              <w:sz w:val="18"/>
                              <w:szCs w:val="18"/>
                              <w:lang w:val="en-US" w:eastAsia="zh-CN" w:bidi="ar-SA"/>
                            </w:rPr>
                            <w:fldChar w:fldCharType="separate"/>
                          </w:r>
                          <w:r>
                            <w:rPr>
                              <w:rFonts w:hint="eastAsia" w:ascii="宋体" w:hAnsi="宋体" w:eastAsia="宋体" w:cs="Times New Roman"/>
                              <w:kern w:val="2"/>
                              <w:sz w:val="18"/>
                              <w:szCs w:val="18"/>
                              <w:lang w:val="en-US" w:eastAsia="zh-CN" w:bidi="ar-SA"/>
                            </w:rPr>
                            <w:t>1</w:t>
                          </w:r>
                          <w:r>
                            <w:rPr>
                              <w:rFonts w:hint="eastAsia" w:ascii="宋体" w:hAnsi="宋体"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widowControl w:val="0"/>
                      <w:snapToGrid w:val="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fldChar w:fldCharType="begin"/>
                    </w:r>
                    <w:r>
                      <w:rPr>
                        <w:rFonts w:hint="eastAsia" w:ascii="宋体" w:hAnsi="宋体" w:eastAsia="宋体" w:cs="Times New Roman"/>
                        <w:kern w:val="2"/>
                        <w:sz w:val="18"/>
                        <w:szCs w:val="18"/>
                        <w:lang w:val="en-US" w:eastAsia="zh-CN" w:bidi="ar-SA"/>
                      </w:rPr>
                      <w:instrText xml:space="preserve"> PAGE  \* MERGEFORMAT </w:instrText>
                    </w:r>
                    <w:r>
                      <w:rPr>
                        <w:rFonts w:hint="eastAsia" w:ascii="宋体" w:hAnsi="宋体" w:eastAsia="宋体" w:cs="Times New Roman"/>
                        <w:kern w:val="2"/>
                        <w:sz w:val="18"/>
                        <w:szCs w:val="18"/>
                        <w:lang w:val="en-US" w:eastAsia="zh-CN" w:bidi="ar-SA"/>
                      </w:rPr>
                      <w:fldChar w:fldCharType="separate"/>
                    </w:r>
                    <w:r>
                      <w:rPr>
                        <w:rFonts w:hint="eastAsia" w:ascii="宋体" w:hAnsi="宋体" w:eastAsia="宋体" w:cs="Times New Roman"/>
                        <w:kern w:val="2"/>
                        <w:sz w:val="18"/>
                        <w:szCs w:val="18"/>
                        <w:lang w:val="en-US" w:eastAsia="zh-CN" w:bidi="ar-SA"/>
                      </w:rPr>
                      <w:t>1</w:t>
                    </w:r>
                    <w:r>
                      <w:rPr>
                        <w:rFonts w:hint="eastAsia" w:ascii="宋体" w:hAnsi="宋体"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both"/>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 xml:space="preserve"> </w:t>
                          </w:r>
                          <w:r>
                            <w:rPr>
                              <w:rFonts w:hint="eastAsia" w:ascii="宋体" w:hAnsi="宋体" w:eastAsia="宋体" w:cs="Times New Roman"/>
                              <w:kern w:val="2"/>
                              <w:sz w:val="18"/>
                              <w:szCs w:val="18"/>
                              <w:lang w:val="en-US" w:eastAsia="zh-CN" w:bidi="ar-SA"/>
                            </w:rPr>
                            <w:fldChar w:fldCharType="begin"/>
                          </w:r>
                          <w:r>
                            <w:rPr>
                              <w:rFonts w:hint="eastAsia" w:ascii="宋体" w:hAnsi="宋体" w:eastAsia="宋体" w:cs="Times New Roman"/>
                              <w:kern w:val="2"/>
                              <w:sz w:val="18"/>
                              <w:szCs w:val="18"/>
                              <w:lang w:val="en-US" w:eastAsia="zh-CN" w:bidi="ar-SA"/>
                            </w:rPr>
                            <w:instrText xml:space="preserve">PAGE   \* MERGEFORMAT</w:instrText>
                          </w:r>
                          <w:r>
                            <w:rPr>
                              <w:rFonts w:hint="eastAsia" w:ascii="宋体" w:hAnsi="宋体" w:eastAsia="宋体" w:cs="Times New Roman"/>
                              <w:kern w:val="2"/>
                              <w:sz w:val="18"/>
                              <w:szCs w:val="18"/>
                              <w:lang w:val="en-US" w:eastAsia="zh-CN" w:bidi="ar-SA"/>
                            </w:rPr>
                            <w:fldChar w:fldCharType="separate"/>
                          </w:r>
                          <w:r>
                            <w:rPr>
                              <w:rFonts w:hint="default" w:ascii="宋体" w:hAnsi="宋体" w:eastAsia="宋体" w:cs="Times New Roman"/>
                              <w:kern w:val="2"/>
                              <w:sz w:val="18"/>
                              <w:szCs w:val="18"/>
                              <w:lang w:val="zh-CN" w:eastAsia="zh-CN" w:bidi="ar-SA"/>
                            </w:rPr>
                            <w:t>28</w:t>
                          </w:r>
                          <w:r>
                            <w:rPr>
                              <w:rFonts w:hint="eastAsia" w:ascii="宋体" w:hAnsi="宋体" w:eastAsia="宋体" w:cs="Times New Roman"/>
                              <w:kern w:val="2"/>
                              <w:sz w:val="18"/>
                              <w:szCs w:val="18"/>
                              <w:lang w:val="en-US" w:eastAsia="zh-CN" w:bidi="ar-SA"/>
                            </w:rPr>
                            <w:fldChar w:fldCharType="end"/>
                          </w:r>
                          <w:r>
                            <w:rPr>
                              <w:rFonts w:hint="eastAsia" w:ascii="宋体" w:hAnsi="宋体" w:eastAsia="宋体" w:cs="Times New Roman"/>
                              <w:kern w:val="2"/>
                              <w:sz w:val="18"/>
                              <w:szCs w:val="1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D5CMU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Qlegd6NFPo0eXrl8u3H5fvnwl0IKi1fgG/nYVn6F6bDs6j3kMZ6+4q&#10;p+KNigjswDpf6RVdIDx+ms/m8xwmDtv4AH729N06H94Io0gUCurQv0QrO2196F1HlxhNm00jZeqh&#10;1KQt6M3LV3n6cLUAXOroK9I0DDCxpD71KIVu3w117k15RpnO9JPiLd80SGXLfHhkDqOB9DHu4QFH&#10;JQ1CmkGipDbu09/00R8dg5WSFqNWUI1doES+1egkAMMouFHYj4I+qjuD2Z1ijSxPIj64IEexckZ9&#10;xA6sYwyYmOaIVNAwinehH3fsEBfrdXLC7FkWtnpneYSO9Hi7PgbQmViOpPRMoDvxgelLfRo2JY73&#10;r+/k9bTP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PkIxQCAAAXBAAADgAAAAAAAAAB&#10;ACAAAAAfAQAAZHJzL2Uyb0RvYy54bWxQSwUGAAAAAAYABgBZAQAApQUAAAAA&#10;">
              <v:fill on="f" focussize="0,0"/>
              <v:stroke on="f" weight="0.5pt"/>
              <v:imagedata o:title=""/>
              <o:lock v:ext="edit" aspectratio="f"/>
              <v:textbox inset="0mm,0mm,0mm,0mm" style="mso-fit-shape-to-text:t;">
                <w:txbxContent>
                  <w:p>
                    <w:pPr>
                      <w:widowControl w:val="0"/>
                      <w:snapToGrid w:val="0"/>
                      <w:jc w:val="both"/>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 xml:space="preserve"> </w:t>
                    </w:r>
                    <w:r>
                      <w:rPr>
                        <w:rFonts w:hint="eastAsia" w:ascii="宋体" w:hAnsi="宋体" w:eastAsia="宋体" w:cs="Times New Roman"/>
                        <w:kern w:val="2"/>
                        <w:sz w:val="18"/>
                        <w:szCs w:val="18"/>
                        <w:lang w:val="en-US" w:eastAsia="zh-CN" w:bidi="ar-SA"/>
                      </w:rPr>
                      <w:fldChar w:fldCharType="begin"/>
                    </w:r>
                    <w:r>
                      <w:rPr>
                        <w:rFonts w:hint="eastAsia" w:ascii="宋体" w:hAnsi="宋体" w:eastAsia="宋体" w:cs="Times New Roman"/>
                        <w:kern w:val="2"/>
                        <w:sz w:val="18"/>
                        <w:szCs w:val="18"/>
                        <w:lang w:val="en-US" w:eastAsia="zh-CN" w:bidi="ar-SA"/>
                      </w:rPr>
                      <w:instrText xml:space="preserve">PAGE   \* MERGEFORMAT</w:instrText>
                    </w:r>
                    <w:r>
                      <w:rPr>
                        <w:rFonts w:hint="eastAsia" w:ascii="宋体" w:hAnsi="宋体" w:eastAsia="宋体" w:cs="Times New Roman"/>
                        <w:kern w:val="2"/>
                        <w:sz w:val="18"/>
                        <w:szCs w:val="18"/>
                        <w:lang w:val="en-US" w:eastAsia="zh-CN" w:bidi="ar-SA"/>
                      </w:rPr>
                      <w:fldChar w:fldCharType="separate"/>
                    </w:r>
                    <w:r>
                      <w:rPr>
                        <w:rFonts w:hint="default" w:ascii="宋体" w:hAnsi="宋体" w:eastAsia="宋体" w:cs="Times New Roman"/>
                        <w:kern w:val="2"/>
                        <w:sz w:val="18"/>
                        <w:szCs w:val="18"/>
                        <w:lang w:val="zh-CN" w:eastAsia="zh-CN" w:bidi="ar-SA"/>
                      </w:rPr>
                      <w:t>28</w:t>
                    </w:r>
                    <w:r>
                      <w:rPr>
                        <w:rFonts w:hint="eastAsia" w:ascii="宋体" w:hAnsi="宋体" w:eastAsia="宋体" w:cs="Times New Roman"/>
                        <w:kern w:val="2"/>
                        <w:sz w:val="18"/>
                        <w:szCs w:val="18"/>
                        <w:lang w:val="en-US" w:eastAsia="zh-CN" w:bidi="ar-SA"/>
                      </w:rPr>
                      <w:fldChar w:fldCharType="end"/>
                    </w:r>
                    <w:r>
                      <w:rPr>
                        <w:rFonts w:hint="eastAsia" w:ascii="宋体" w:hAnsi="宋体" w:eastAsia="宋体" w:cs="Times New Roman"/>
                        <w:kern w:val="2"/>
                        <w:sz w:val="18"/>
                        <w:szCs w:val="18"/>
                        <w:lang w:val="en-US" w:eastAsia="zh-CN" w:bidi="ar-SA"/>
                      </w:rPr>
                      <w:t xml:space="preserve"> </w:t>
                    </w:r>
                  </w:p>
                </w:txbxContent>
              </v:textbox>
            </v:shape>
          </w:pict>
        </mc:Fallback>
      </mc:AlternateContent>
    </w:r>
    <w:r>
      <w:rPr>
        <w:rFonts w:hint="eastAsia" w:ascii="宋体" w:hAnsi="宋体"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widowControl w:val="0"/>
                            <w:snapToGrid w:val="0"/>
                            <w:jc w:val="both"/>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KxBI7BgCAAAUBAAADgAAAGRycy9lMm9Eb2MueG1srVPN&#10;jtMwEL4j8Q6W7zRpWValaroquypCqtiVCuLsOnZjyfZYttukPAC8AScue+e5+hyMnaaLgBPiYo89&#10;/998M7/pjCYH4YMCW9HxqKREWA61sruKfvywejGlJERma6bBiooeRaA3i+fP5q2biQk0oGvhCQax&#10;Yda6ijYxullRBN4Iw8IInLColOANi/j0u6L2rMXoRheTsrwuWvC188BFCPh71yvpIseXUvB4L2UQ&#10;keiKYm0xnz6f23QWizmb7TxzjeLnMtg/VGGYspj0EuqORUb2Xv0RyijuIYCMIw6mACkVF7kH7GZc&#10;/tbNpmFO5F4QnOAuMIX/F5a/Pzx4ouqKXlFimcERnb59PX3/cXr8Qq4SPK0LM7TaOLSL3RvocMzD&#10;f8DP1HUnvUk39kNQj0AfL+CKLhKenKaT6bREFUfdZFK+nmb0iydv50N8K8CQJFTU4/AypuywDhEr&#10;QdPBJCWzsFJa5wFqS9qKXr98VWaHiwY9tE22IlPhHCZ11FeepNhtu3ObW6iP2KWHnibB8ZXCUtYs&#10;xAfmkRdYPXI93uMhNWBKOEuUNOA//+0/2eO4UEtJizyrqMVFoES/szjGRMlB8IOwHQS7N7eAxB3j&#10;DjmeRXTwUQ+i9GA+4QIsUw5UMcsxU0XjIN7Gnuu4QFwsl9kIiedYXNuN4yl0D+VyH0GqjHICpUcC&#10;IU8PpF4G/7wmidu/vrPV0zI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DVRU2AAAAAoBAAAP&#10;AAAAAAAAAAEAIAAAACIAAABkcnMvZG93bnJldi54bWxQSwECFAAUAAAACACHTuJAKxBI7BgCAAAU&#10;BAAADgAAAAAAAAABACAAAAAnAQAAZHJzL2Uyb0RvYy54bWxQSwUGAAAAAAYABgBZAQAAsQUAAAAA&#10;">
              <v:fill on="f" focussize="0,0"/>
              <v:stroke on="f" weight="0.5pt"/>
              <v:imagedata o:title=""/>
              <o:lock v:ext="edit" aspectratio="f"/>
              <v:textbox inset="0mm,0mm,0mm,0mm">
                <w:txbxContent>
                  <w:p>
                    <w:pPr>
                      <w:widowControl w:val="0"/>
                      <w:snapToGrid w:val="0"/>
                      <w:jc w:val="both"/>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eastAsia="宋体" w:asciiTheme="minorAscii" w:hAnsiTheme="minorAscii" w:cstheme="minorBidi"/>
        <w:kern w:val="2"/>
        <w:sz w:val="24"/>
        <w:szCs w:val="24"/>
        <w:lang w:val="en-US" w:eastAsia="zh-CN" w:bidi="ar-SA"/>
      </w:rPr>
    </w:pPr>
    <w:r>
      <w:rPr>
        <w:rFonts w:eastAsia="宋体" w:asciiTheme="minorAscii" w:hAnsiTheme="minorAscii" w:cstheme="minorBidi"/>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rFonts w:eastAsia="宋体" w:asciiTheme="minorAscii" w:hAnsiTheme="minorAscii" w:cstheme="minorBidi"/>
                              <w:kern w:val="2"/>
                              <w:sz w:val="24"/>
                              <w:szCs w:val="24"/>
                              <w:lang w:val="en-US" w:eastAsia="zh-CN" w:bidi="ar-SA"/>
                            </w:rPr>
                          </w:pPr>
                          <w:r>
                            <w:rPr>
                              <w:rFonts w:eastAsia="宋体" w:asciiTheme="minorAscii" w:hAnsiTheme="minorAscii" w:cstheme="minorBidi"/>
                              <w:kern w:val="2"/>
                              <w:sz w:val="24"/>
                              <w:szCs w:val="24"/>
                              <w:lang w:val="en-US" w:eastAsia="zh-CN" w:bidi="ar-SA"/>
                            </w:rPr>
                            <w:fldChar w:fldCharType="begin"/>
                          </w:r>
                          <w:r>
                            <w:rPr>
                              <w:rFonts w:eastAsia="宋体" w:asciiTheme="minorAscii" w:hAnsiTheme="minorAscii" w:cstheme="minorBidi"/>
                              <w:kern w:val="2"/>
                              <w:sz w:val="24"/>
                              <w:szCs w:val="24"/>
                              <w:lang w:val="en-US" w:eastAsia="zh-CN" w:bidi="ar-SA"/>
                            </w:rPr>
                            <w:instrText xml:space="preserve"> PAGE  \* MERGEFORMAT </w:instrText>
                          </w:r>
                          <w:r>
                            <w:rPr>
                              <w:rFonts w:eastAsia="宋体" w:asciiTheme="minorAscii" w:hAnsiTheme="minorAscii" w:cstheme="minorBidi"/>
                              <w:kern w:val="2"/>
                              <w:sz w:val="24"/>
                              <w:szCs w:val="24"/>
                              <w:lang w:val="en-US" w:eastAsia="zh-CN" w:bidi="ar-SA"/>
                            </w:rPr>
                            <w:fldChar w:fldCharType="separate"/>
                          </w:r>
                          <w:r>
                            <w:rPr>
                              <w:rFonts w:eastAsia="宋体" w:asciiTheme="minorAscii" w:hAnsiTheme="minorAscii" w:cstheme="minorBidi"/>
                              <w:kern w:val="2"/>
                              <w:sz w:val="24"/>
                              <w:szCs w:val="24"/>
                              <w:lang w:val="en-US" w:eastAsia="zh-CN" w:bidi="ar-SA"/>
                            </w:rPr>
                            <w:t>7</w:t>
                          </w:r>
                          <w:r>
                            <w:rPr>
                              <w:rFonts w:eastAsia="宋体" w:asciiTheme="minorAscii" w:hAnsiTheme="minorAscii" w:cstheme="minorBidi"/>
                              <w:kern w:val="2"/>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8Tl4cAgAAJQQAAA4AAABkcnMvZTJvRG9jLnhtbK1Ty47TMBTdI/EP&#10;lvc0aRFDqZqOyoyKkCpmpIJm7TpOE8kv2W6T8gHwB6zYsOe7+h0cO01nBKwQG/va933uufPrTkly&#10;EM43Rhd0PMopEZqbstG7gn76uHoxpcQHpksmjRYFPQpPrxfPn81bOxMTUxtZCkcQRPtZawtah2Bn&#10;WeZ5LRTzI2OFhrIyTrGAp9tlpWMtoiuZTfL8KmuNK60zXHiP39teSRcpflUJHu6qyotAZEFRW0in&#10;S+c2ntlizmY7x2zd8HMZ7B+qUKzRSHoJdcsCI3vX/BFKNdwZb6ow4kZlpqoaLlIP6Gac/9bNpmZW&#10;pF4AjrcXmPz/C8s/HO4daUrM7s1rSjRTGNLp29fT95+nH19I/ARErfUzWG4sbEP31nQwH/49PmPn&#10;XeVUvNETgR5gHy8Aiy4QHp2mk+k0h4pDNzwQP3t0t86Hd8IoEoWCOkwwAcsOax9608EkZtNm1UiZ&#10;pig1aQt69fJVnhwuGgSXOtqKxIdzmNhSX3qUQrftzn1uTXlEm870XPGWrxqUsmY+3DMHcqB8ED7c&#10;4aikQUpzliipjfv8t/9oj5lBS0kLshVUYxsoke81Zhl5OQhuELaDoPfqxoC9YyyS5UmEgwtyECtn&#10;1AO2YBlzQMU0R6aChkG8CT3hsUVcLJfJaG9ds6t7BzDRsrDWG8tjmgiVt8t9ALQJ8QhQjwomFR/g&#10;YprZeW8i2Z++k9Xjdi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lvE5eHAIAACUEAAAO&#10;AAAAAAAAAAEAIAAAAB8BAABkcnMvZTJvRG9jLnhtbFBLBQYAAAAABgAGAFkBAACtBQAAAAA=&#10;">
              <v:fill on="f" focussize="0,0"/>
              <v:stroke on="f" weight="0.5pt"/>
              <v:imagedata o:title=""/>
              <o:lock v:ext="edit" aspectratio="f"/>
              <v:textbox inset="0mm,0mm,0mm,0mm" style="mso-fit-shape-to-text:t;">
                <w:txbxContent>
                  <w:p>
                    <w:pPr>
                      <w:widowControl w:val="0"/>
                      <w:snapToGrid w:val="0"/>
                      <w:jc w:val="center"/>
                      <w:rPr>
                        <w:rFonts w:eastAsia="宋体" w:asciiTheme="minorAscii" w:hAnsiTheme="minorAscii" w:cstheme="minorBidi"/>
                        <w:kern w:val="2"/>
                        <w:sz w:val="24"/>
                        <w:szCs w:val="24"/>
                        <w:lang w:val="en-US" w:eastAsia="zh-CN" w:bidi="ar-SA"/>
                      </w:rPr>
                    </w:pPr>
                    <w:r>
                      <w:rPr>
                        <w:rFonts w:eastAsia="宋体" w:asciiTheme="minorAscii" w:hAnsiTheme="minorAscii" w:cstheme="minorBidi"/>
                        <w:kern w:val="2"/>
                        <w:sz w:val="24"/>
                        <w:szCs w:val="24"/>
                        <w:lang w:val="en-US" w:eastAsia="zh-CN" w:bidi="ar-SA"/>
                      </w:rPr>
                      <w:fldChar w:fldCharType="begin"/>
                    </w:r>
                    <w:r>
                      <w:rPr>
                        <w:rFonts w:eastAsia="宋体" w:asciiTheme="minorAscii" w:hAnsiTheme="minorAscii" w:cstheme="minorBidi"/>
                        <w:kern w:val="2"/>
                        <w:sz w:val="24"/>
                        <w:szCs w:val="24"/>
                        <w:lang w:val="en-US" w:eastAsia="zh-CN" w:bidi="ar-SA"/>
                      </w:rPr>
                      <w:instrText xml:space="preserve"> PAGE  \* MERGEFORMAT </w:instrText>
                    </w:r>
                    <w:r>
                      <w:rPr>
                        <w:rFonts w:eastAsia="宋体" w:asciiTheme="minorAscii" w:hAnsiTheme="minorAscii" w:cstheme="minorBidi"/>
                        <w:kern w:val="2"/>
                        <w:sz w:val="24"/>
                        <w:szCs w:val="24"/>
                        <w:lang w:val="en-US" w:eastAsia="zh-CN" w:bidi="ar-SA"/>
                      </w:rPr>
                      <w:fldChar w:fldCharType="separate"/>
                    </w:r>
                    <w:r>
                      <w:rPr>
                        <w:rFonts w:eastAsia="宋体" w:asciiTheme="minorAscii" w:hAnsiTheme="minorAscii" w:cstheme="minorBidi"/>
                        <w:kern w:val="2"/>
                        <w:sz w:val="24"/>
                        <w:szCs w:val="24"/>
                        <w:lang w:val="en-US" w:eastAsia="zh-CN" w:bidi="ar-SA"/>
                      </w:rPr>
                      <w:t>7</w:t>
                    </w:r>
                    <w:r>
                      <w:rPr>
                        <w:rFonts w:eastAsia="宋体" w:asciiTheme="minorAscii" w:hAnsiTheme="minorAscii" w:cstheme="minorBidi"/>
                        <w:kern w:val="2"/>
                        <w:sz w:val="24"/>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1758"/>
      </w:tabs>
      <w:snapToGrid w:val="0"/>
      <w:jc w:val="center"/>
      <w:rPr>
        <w:rFonts w:hint="default" w:ascii="宋体" w:hAnsi="宋体"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458"/>
    <w:multiLevelType w:val="singleLevel"/>
    <w:tmpl w:val="27D2545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8E82759"/>
    <w:rsid w:val="098305D0"/>
    <w:rsid w:val="09B72B6E"/>
    <w:rsid w:val="0A3851D8"/>
    <w:rsid w:val="0A5C4B69"/>
    <w:rsid w:val="0AEC3BC7"/>
    <w:rsid w:val="0B9335CE"/>
    <w:rsid w:val="0C7927C4"/>
    <w:rsid w:val="0C9B098C"/>
    <w:rsid w:val="0D11728C"/>
    <w:rsid w:val="0D673E11"/>
    <w:rsid w:val="0DB50EFE"/>
    <w:rsid w:val="0DDA54E4"/>
    <w:rsid w:val="0E3A5F83"/>
    <w:rsid w:val="0EB62917"/>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585B8A"/>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E354E4"/>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next w:val="1"/>
    <w:qFormat/>
    <w:uiPriority w:val="0"/>
    <w:pPr>
      <w:ind w:firstLine="200" w:firstLineChars="200"/>
    </w:pPr>
    <w:rPr>
      <w:rFonts w:hint="eastAsia" w:ascii="宋体" w:hAnsi="宋体" w:eastAsia="宋体" w:cs="Times New Roman"/>
      <w:sz w:val="24"/>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2025-09-17T02:24:40Z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