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DF168">
      <w:pPr>
        <w:pStyle w:val="5"/>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pPr>
      <w:r>
        <w:rPr>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t>重庆市巫溪县红池坝景区管委会（本级）</w:t>
      </w:r>
    </w:p>
    <w:p w14:paraId="144327ED">
      <w:pPr>
        <w:pStyle w:val="5"/>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pPr>
      <w:r>
        <w:rPr>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t>2024年度决算公开说明</w:t>
      </w:r>
    </w:p>
    <w:p w14:paraId="402CDB00">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rPr>
          <w:rFonts w:hint="default" w:ascii="Times New Roman" w:hAnsi="Times New Roman" w:eastAsia="黑体" w:cs="Times New Roman"/>
          <w:b w:val="0"/>
          <w:bCs w:val="0"/>
          <w:i w:val="0"/>
          <w:iCs w:val="0"/>
          <w:caps w:val="0"/>
          <w:color w:val="000000"/>
          <w:spacing w:val="0"/>
          <w:kern w:val="0"/>
          <w:sz w:val="32"/>
          <w:szCs w:val="32"/>
          <w:lang w:eastAsia="zh-CN"/>
        </w:rPr>
      </w:pPr>
      <w:r>
        <w:rPr>
          <w:rFonts w:hint="default" w:ascii="Times New Roman" w:hAnsi="Times New Roman" w:eastAsia="黑体" w:cs="Times New Roman"/>
          <w:b w:val="0"/>
          <w:bCs w:val="0"/>
          <w:i w:val="0"/>
          <w:iCs w:val="0"/>
          <w:caps w:val="0"/>
          <w:color w:val="000000"/>
          <w:spacing w:val="0"/>
          <w:kern w:val="0"/>
          <w:sz w:val="32"/>
          <w:szCs w:val="32"/>
          <w:lang w:eastAsia="zh-CN"/>
        </w:rPr>
        <w:t>单位基本情况</w:t>
      </w:r>
    </w:p>
    <w:p w14:paraId="4A93117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rPr>
          <w:rFonts w:hint="default" w:ascii="Times New Roman" w:hAnsi="Times New Roman" w:eastAsia="楷体" w:cs="Times New Roman"/>
          <w:b w:val="0"/>
          <w:bCs w:val="0"/>
          <w:i w:val="0"/>
          <w:iCs w:val="0"/>
          <w:caps w:val="0"/>
          <w:color w:val="000000"/>
          <w:spacing w:val="0"/>
          <w:kern w:val="0"/>
          <w:sz w:val="32"/>
          <w:szCs w:val="32"/>
          <w:lang w:val="en-US" w:eastAsia="zh-CN" w:bidi="ar-SA"/>
        </w:rPr>
      </w:pPr>
      <w:r>
        <w:rPr>
          <w:rFonts w:hint="default" w:ascii="Times New Roman" w:hAnsi="Times New Roman" w:eastAsia="楷体" w:cs="Times New Roman"/>
          <w:b w:val="0"/>
          <w:bCs w:val="0"/>
          <w:i w:val="0"/>
          <w:iCs w:val="0"/>
          <w:caps w:val="0"/>
          <w:color w:val="000000"/>
          <w:spacing w:val="0"/>
          <w:kern w:val="0"/>
          <w:sz w:val="32"/>
          <w:szCs w:val="32"/>
          <w:lang w:val="en-US" w:eastAsia="zh-CN" w:bidi="ar-SA"/>
        </w:rPr>
        <w:t>（一）职能职责</w:t>
      </w:r>
    </w:p>
    <w:p w14:paraId="1CBB226C">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1.</w:t>
      </w:r>
      <w:r>
        <w:rPr>
          <w:rFonts w:hint="default" w:ascii="Times New Roman" w:hAnsi="Times New Roman" w:eastAsia="方正仿宋_GBK" w:cs="Times New Roman"/>
          <w:color w:val="auto"/>
          <w:sz w:val="32"/>
          <w:szCs w:val="32"/>
        </w:rPr>
        <w:t>组织实施国家有关景区保护、管理的法律、法规和政策规定，研究拟订景区保护、管理的具体办法，经批准后监督贯彻执行。编制景区经济社会发展规划，并组织实施。研究制定景区内产业发展扶持政策，服务、指导、协调产业市场化发展。</w:t>
      </w:r>
    </w:p>
    <w:p w14:paraId="7DD15943">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2.</w:t>
      </w:r>
      <w:r>
        <w:rPr>
          <w:rFonts w:hint="default" w:ascii="Times New Roman" w:hAnsi="Times New Roman" w:eastAsia="方正仿宋_GBK" w:cs="Times New Roman"/>
          <w:color w:val="auto"/>
          <w:sz w:val="32"/>
          <w:szCs w:val="32"/>
        </w:rPr>
        <w:t>拟订景区招商引资政策，发布对外招商项目，组织对外招商活动和对外经济合作。</w:t>
      </w:r>
    </w:p>
    <w:p w14:paraId="43DCF3C1">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3.</w:t>
      </w:r>
      <w:r>
        <w:rPr>
          <w:rFonts w:hint="default" w:ascii="Times New Roman" w:hAnsi="Times New Roman" w:eastAsia="方正仿宋_GBK" w:cs="Times New Roman"/>
          <w:color w:val="auto"/>
          <w:sz w:val="32"/>
          <w:szCs w:val="32"/>
        </w:rPr>
        <w:t>审批景区内各项基建计划，负责景区内各项基础设施、公用设施建设和其他建设项目的监督和管理。</w:t>
      </w:r>
    </w:p>
    <w:p w14:paraId="175EA237">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4.</w:t>
      </w:r>
      <w:r>
        <w:rPr>
          <w:rFonts w:hint="default" w:ascii="Times New Roman" w:hAnsi="Times New Roman" w:eastAsia="方正仿宋_GBK" w:cs="Times New Roman"/>
          <w:color w:val="auto"/>
          <w:sz w:val="32"/>
          <w:szCs w:val="32"/>
        </w:rPr>
        <w:t>负责景区资源、文物的保护和管理。</w:t>
      </w:r>
    </w:p>
    <w:p w14:paraId="743ECADE">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5.</w:t>
      </w:r>
      <w:r>
        <w:rPr>
          <w:rFonts w:hint="default" w:ascii="Times New Roman" w:hAnsi="Times New Roman" w:eastAsia="方正仿宋_GBK" w:cs="Times New Roman"/>
          <w:color w:val="auto"/>
          <w:sz w:val="32"/>
          <w:szCs w:val="32"/>
        </w:rPr>
        <w:t>按照有关规定和委托权限，负责景区内建设用地的开发、利用和管理。负责管理景区内的房屋建设工作。</w:t>
      </w:r>
    </w:p>
    <w:p w14:paraId="0D25E406">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6.</w:t>
      </w:r>
      <w:r>
        <w:rPr>
          <w:rFonts w:hint="default" w:ascii="Times New Roman" w:hAnsi="Times New Roman" w:eastAsia="方正仿宋_GBK" w:cs="Times New Roman"/>
          <w:color w:val="auto"/>
          <w:sz w:val="32"/>
          <w:szCs w:val="32"/>
        </w:rPr>
        <w:t>牵头组织景区各类创建和宣传营销工作。</w:t>
      </w:r>
    </w:p>
    <w:p w14:paraId="54F76B4B">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7.</w:t>
      </w:r>
      <w:r>
        <w:rPr>
          <w:rFonts w:hint="default" w:ascii="Times New Roman" w:hAnsi="Times New Roman" w:eastAsia="方正仿宋_GBK" w:cs="Times New Roman"/>
          <w:color w:val="auto"/>
          <w:sz w:val="32"/>
          <w:szCs w:val="32"/>
        </w:rPr>
        <w:t>协助文峰镇组织兴办、管理景区内有关社会公益事业。协助文峰镇做好景区科教、卫生健康、民政、劳动社会保障等事务。</w:t>
      </w:r>
    </w:p>
    <w:p w14:paraId="0E97880D">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协调管理景区内企业及有关部门设在景区的派出机构和分支机构。督促本辖区内单位加强内部保卫工作，维护社会秩序，保障游客人身安全，保障企业自主权和职工的合法权益。</w:t>
      </w:r>
    </w:p>
    <w:p w14:paraId="53545206">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完成县委、县政府交办的其他任务。</w:t>
      </w:r>
    </w:p>
    <w:p w14:paraId="5334632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rPr>
          <w:rFonts w:hint="default" w:ascii="Times New Roman" w:hAnsi="Times New Roman" w:eastAsia="楷体" w:cs="Times New Roman"/>
          <w:b w:val="0"/>
          <w:bCs w:val="0"/>
          <w:i w:val="0"/>
          <w:iCs w:val="0"/>
          <w:caps w:val="0"/>
          <w:color w:val="000000"/>
          <w:spacing w:val="0"/>
          <w:kern w:val="0"/>
          <w:sz w:val="32"/>
          <w:szCs w:val="32"/>
        </w:rPr>
      </w:pPr>
      <w:r>
        <w:rPr>
          <w:rFonts w:hint="default" w:ascii="Times New Roman" w:hAnsi="Times New Roman" w:eastAsia="楷体" w:cs="Times New Roman"/>
          <w:b w:val="0"/>
          <w:bCs w:val="0"/>
          <w:i w:val="0"/>
          <w:iCs w:val="0"/>
          <w:caps w:val="0"/>
          <w:color w:val="000000"/>
          <w:spacing w:val="0"/>
          <w:kern w:val="0"/>
          <w:sz w:val="32"/>
          <w:szCs w:val="32"/>
        </w:rPr>
        <w:t>（二）机构设置</w:t>
      </w:r>
    </w:p>
    <w:p w14:paraId="64157950">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巫溪县红池坝景区管委会，一级预算单位，机关行政编制11名。设主任1名，副主任2名；内设机构巫溪县红池坝景区行政执法支队事业编制</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名，领导职数按1名配备，在编在岗人员</w:t>
      </w:r>
      <w:r>
        <w:rPr>
          <w:rFonts w:hint="default" w:ascii="Times New Roman" w:hAnsi="Times New Roman"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名（含事业编制</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名）。设下列内设机构：</w:t>
      </w:r>
    </w:p>
    <w:p w14:paraId="77118AC4">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1.</w:t>
      </w:r>
      <w:r>
        <w:rPr>
          <w:rFonts w:hint="default" w:ascii="Times New Roman" w:hAnsi="Times New Roman" w:eastAsia="方正仿宋_GBK" w:cs="Times New Roman"/>
          <w:color w:val="auto"/>
          <w:sz w:val="32"/>
          <w:szCs w:val="32"/>
        </w:rPr>
        <w:t>办公室。负责管委会党的建设、纪律检查、宣传思想、统战、群团等工作。负责文秘、信息、接待、会务、保密、档案、统计等工作。负责机构编制、劳动人事管理和职工教育培训管理。 负责财会、审计、资产管理及工资保险福利等工作。负责后勤管理、目标考评工作。负责群众自治组织建设。协助文峰镇做好景区科教、卫生健康、民政、劳动社会保障等事务。</w:t>
      </w:r>
    </w:p>
    <w:p w14:paraId="25B0A7F7">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2.</w:t>
      </w:r>
      <w:r>
        <w:rPr>
          <w:rFonts w:hint="default" w:ascii="Times New Roman" w:hAnsi="Times New Roman" w:eastAsia="方正仿宋_GBK" w:cs="Times New Roman"/>
          <w:color w:val="auto"/>
          <w:sz w:val="32"/>
          <w:szCs w:val="32"/>
        </w:rPr>
        <w:t>规划管理科。负责景区各类设计的初审、建设项目的预审工作。负责年度建设计划的制定与组织实施。负责监督辖区建设项目依法施工。负责景点开发建设的管理。负责管理景区内房屋建设和项目</w:t>
      </w:r>
      <w:r>
        <w:rPr>
          <w:rFonts w:hint="eastAsia" w:ascii="Times New Roman" w:hAnsi="Times New Roman" w:eastAsia="方正仿宋_GBK" w:cs="Times New Roman"/>
          <w:color w:val="auto"/>
          <w:sz w:val="32"/>
          <w:szCs w:val="32"/>
          <w:lang w:eastAsia="zh-CN"/>
        </w:rPr>
        <w:t>经营</w:t>
      </w:r>
      <w:r>
        <w:rPr>
          <w:rFonts w:hint="default" w:ascii="Times New Roman" w:hAnsi="Times New Roman" w:eastAsia="方正仿宋_GBK" w:cs="Times New Roman"/>
          <w:color w:val="auto"/>
          <w:sz w:val="32"/>
          <w:szCs w:val="32"/>
        </w:rPr>
        <w:t>工作。</w:t>
      </w:r>
    </w:p>
    <w:p w14:paraId="4227ACFC">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3.</w:t>
      </w:r>
      <w:r>
        <w:rPr>
          <w:rFonts w:hint="default" w:ascii="Times New Roman" w:hAnsi="Times New Roman" w:eastAsia="方正仿宋_GBK" w:cs="Times New Roman"/>
          <w:color w:val="auto"/>
          <w:sz w:val="32"/>
          <w:szCs w:val="32"/>
        </w:rPr>
        <w:t>旅游发展科。负责编制景区旅游中长期规划及年度计划负责旅游市场的调研和旅游产业的开发。负责旅游节庆活动的策划、组织与实施。负责制定景区招商引资政策，发布对外招商项目。负责组织对外招商活动和对外经济合作。负责景区宣传营销规划和年度宣传营销计划的制定与实施。负责景区各类创建工作。研究制定景区内产业发展扶持政策，服务、指导、协调产业市场化发展。</w:t>
      </w:r>
    </w:p>
    <w:p w14:paraId="6C27C009">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4.</w:t>
      </w:r>
      <w:r>
        <w:rPr>
          <w:rFonts w:hint="default" w:ascii="Times New Roman" w:hAnsi="Times New Roman" w:eastAsia="方正仿宋_GBK" w:cs="Times New Roman"/>
          <w:color w:val="auto"/>
          <w:sz w:val="32"/>
          <w:szCs w:val="32"/>
        </w:rPr>
        <w:t>安全环保科。负责景区内社会治安、环境保护、应急消防、安全生产监督管理等工作。负责行政执法监督指导工作。负责旅游消费者投诉工作。负责景区内企业监督管理。负责景区内经营秩序和服务质量管理。负责景区资源、风景名胜、文物的保护和管理。协调管理交通、水利、电力、林业、农技、农机、畜牧等工作。协调监督管理景区内有关部门设在景区的派出机构和分支机构的工作。协调监督管理文峰镇红池坝社区的工作。</w:t>
      </w:r>
    </w:p>
    <w:p w14:paraId="61DD3A2C">
      <w:pPr>
        <w:keepNext w:val="0"/>
        <w:keepLines w:val="0"/>
        <w:pageBreakBefore w:val="0"/>
        <w:widowControl/>
        <w:suppressLineNumbers w:val="0"/>
        <w:kinsoku/>
        <w:wordWrap/>
        <w:overflowPunct/>
        <w:topLinePunct w:val="0"/>
        <w:autoSpaceDE w:val="0"/>
        <w:autoSpaceDN/>
        <w:bidi w:val="0"/>
        <w:adjustRightInd/>
        <w:snapToGrid/>
        <w:spacing w:afterAutospacing="0" w:line="600" w:lineRule="exact"/>
        <w:ind w:left="0" w:firstLine="640" w:firstLineChars="200"/>
        <w:rPr>
          <w:rFonts w:hint="default" w:ascii="Times New Roman" w:hAnsi="Times New Roman" w:eastAsia="黑体" w:cs="Times New Roman"/>
          <w:b w:val="0"/>
          <w:bCs w:val="0"/>
          <w:i w:val="0"/>
          <w:iCs w:val="0"/>
          <w:caps w:val="0"/>
          <w:color w:val="000000"/>
          <w:spacing w:val="0"/>
          <w:kern w:val="0"/>
          <w:sz w:val="32"/>
          <w:szCs w:val="32"/>
        </w:rPr>
      </w:pPr>
      <w:r>
        <w:rPr>
          <w:rFonts w:hint="default" w:ascii="Times New Roman" w:hAnsi="Times New Roman" w:eastAsia="黑体" w:cs="Times New Roman"/>
          <w:b w:val="0"/>
          <w:bCs w:val="0"/>
          <w:i w:val="0"/>
          <w:iCs w:val="0"/>
          <w:caps w:val="0"/>
          <w:color w:val="000000"/>
          <w:spacing w:val="0"/>
          <w:kern w:val="0"/>
          <w:sz w:val="32"/>
          <w:szCs w:val="32"/>
        </w:rPr>
        <w:t>二、</w:t>
      </w:r>
      <w:r>
        <w:rPr>
          <w:rFonts w:hint="default" w:ascii="Times New Roman" w:hAnsi="Times New Roman" w:eastAsia="黑体" w:cs="Times New Roman"/>
          <w:b w:val="0"/>
          <w:bCs w:val="0"/>
          <w:i w:val="0"/>
          <w:iCs w:val="0"/>
          <w:caps w:val="0"/>
          <w:color w:val="000000"/>
          <w:spacing w:val="0"/>
          <w:kern w:val="0"/>
          <w:sz w:val="32"/>
          <w:szCs w:val="32"/>
          <w:lang w:eastAsia="zh-CN"/>
        </w:rPr>
        <w:t>单位</w:t>
      </w:r>
      <w:r>
        <w:rPr>
          <w:rFonts w:hint="default" w:ascii="Times New Roman" w:hAnsi="Times New Roman" w:eastAsia="黑体" w:cs="Times New Roman"/>
          <w:b w:val="0"/>
          <w:bCs w:val="0"/>
          <w:i w:val="0"/>
          <w:iCs w:val="0"/>
          <w:caps w:val="0"/>
          <w:color w:val="000000"/>
          <w:spacing w:val="0"/>
          <w:kern w:val="0"/>
          <w:sz w:val="32"/>
          <w:szCs w:val="32"/>
        </w:rPr>
        <w:t>决算</w:t>
      </w:r>
      <w:r>
        <w:rPr>
          <w:rFonts w:hint="default" w:ascii="Times New Roman" w:hAnsi="Times New Roman" w:eastAsia="黑体" w:cs="Times New Roman"/>
          <w:b w:val="0"/>
          <w:bCs w:val="0"/>
          <w:i w:val="0"/>
          <w:iCs w:val="0"/>
          <w:caps w:val="0"/>
          <w:color w:val="000000"/>
          <w:spacing w:val="0"/>
          <w:kern w:val="0"/>
          <w:sz w:val="32"/>
          <w:szCs w:val="32"/>
          <w:lang w:eastAsia="zh-CN"/>
        </w:rPr>
        <w:t>收支</w:t>
      </w:r>
      <w:r>
        <w:rPr>
          <w:rFonts w:hint="default" w:ascii="Times New Roman" w:hAnsi="Times New Roman" w:eastAsia="黑体" w:cs="Times New Roman"/>
          <w:b w:val="0"/>
          <w:bCs w:val="0"/>
          <w:i w:val="0"/>
          <w:iCs w:val="0"/>
          <w:caps w:val="0"/>
          <w:color w:val="000000"/>
          <w:spacing w:val="0"/>
          <w:kern w:val="0"/>
          <w:sz w:val="32"/>
          <w:szCs w:val="32"/>
        </w:rPr>
        <w:t>情况说明</w:t>
      </w:r>
    </w:p>
    <w:p w14:paraId="22528988">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楷体" w:cs="Times New Roman"/>
          <w:b w:val="0"/>
          <w:bCs w:val="0"/>
          <w:i w:val="0"/>
          <w:iCs w:val="0"/>
          <w:caps w:val="0"/>
          <w:color w:val="000000"/>
          <w:spacing w:val="0"/>
          <w:kern w:val="0"/>
          <w:sz w:val="32"/>
          <w:szCs w:val="32"/>
          <w:lang w:val="en-US" w:eastAsia="zh-CN" w:bidi="ar-SA"/>
        </w:rPr>
      </w:pPr>
      <w:r>
        <w:rPr>
          <w:rFonts w:hint="default" w:ascii="Times New Roman" w:hAnsi="Times New Roman" w:eastAsia="楷体" w:cs="Times New Roman"/>
          <w:b w:val="0"/>
          <w:bCs w:val="0"/>
          <w:i w:val="0"/>
          <w:iCs w:val="0"/>
          <w:caps w:val="0"/>
          <w:color w:val="000000"/>
          <w:spacing w:val="0"/>
          <w:kern w:val="0"/>
          <w:sz w:val="32"/>
          <w:szCs w:val="32"/>
          <w:lang w:val="en-US" w:eastAsia="zh-CN" w:bidi="ar-SA"/>
        </w:rPr>
        <w:t>（一）收入支出决算总体情况说明。</w:t>
      </w:r>
    </w:p>
    <w:p w14:paraId="24072EB8">
      <w:pPr>
        <w:pStyle w:val="5"/>
        <w:keepNext w:val="0"/>
        <w:keepLines w:val="0"/>
        <w:pageBreakBefore w:val="0"/>
        <w:shd w:val="clear" w:color="auto" w:fill="FFFFFF"/>
        <w:kinsoku/>
        <w:overflowPunct/>
        <w:topLinePunct w:val="0"/>
        <w:autoSpaceDN/>
        <w:bidi w:val="0"/>
        <w:adjustRightInd/>
        <w:spacing w:beforeAutospacing="0" w:afterAutospacing="0" w:line="60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度收入总计41.81万元，支出总计</w:t>
      </w:r>
      <w:r>
        <w:rPr>
          <w:rFonts w:hint="default" w:ascii="Times New Roman" w:hAnsi="Times New Roman" w:eastAsia="方正仿宋_GBK" w:cs="Times New Roman"/>
          <w:sz w:val="32"/>
          <w:szCs w:val="32"/>
        </w:rPr>
        <w:t>41.81</w:t>
      </w:r>
      <w:r>
        <w:rPr>
          <w:rFonts w:hint="default" w:ascii="Times New Roman" w:hAnsi="Times New Roman" w:eastAsia="方正仿宋_GBK" w:cs="Times New Roman"/>
          <w:sz w:val="32"/>
          <w:szCs w:val="32"/>
          <w:shd w:val="clear" w:color="auto" w:fill="FFFFFF"/>
        </w:rPr>
        <w:t>万元。收、支与2023年度相比，减少277.04万元，下降86.9%，主要原因是</w:t>
      </w:r>
      <w:r>
        <w:rPr>
          <w:rFonts w:hint="default" w:ascii="Times New Roman" w:hAnsi="Times New Roman" w:eastAsia="方正仿宋_GBK" w:cs="Times New Roman"/>
          <w:sz w:val="32"/>
          <w:szCs w:val="32"/>
          <w:shd w:val="clear" w:color="auto" w:fill="FFFFFF"/>
          <w:lang w:val="en-US" w:eastAsia="zh-CN"/>
        </w:rPr>
        <w:t>2023年12月底国家层面的机构改革导致行政和事业单位分开</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事业独立收支，且</w:t>
      </w:r>
      <w:r>
        <w:rPr>
          <w:rFonts w:hint="default" w:ascii="Times New Roman" w:hAnsi="Times New Roman" w:eastAsia="方正仿宋_GBK" w:cs="Times New Roman"/>
          <w:sz w:val="32"/>
          <w:szCs w:val="32"/>
          <w:shd w:val="clear" w:color="auto" w:fill="FFFFFF"/>
          <w:lang w:val="en-US" w:eastAsia="zh-CN"/>
        </w:rPr>
        <w:t>2024年2月“三攻坚一盘活”大背景下，单位撤销，人员转隶分流，收入支出较少。</w:t>
      </w:r>
    </w:p>
    <w:p w14:paraId="1CF52F85">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度收入合计41.81万元，与2023年度相比，减少277.04万元，下降86.9%，主要原因是2023年12月底国家层面的机构改革导致行政和事业单位分开，事业独立收支，且2024年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人员转隶分流，收入较少。其中：财政拨款收入</w:t>
      </w:r>
      <w:r>
        <w:rPr>
          <w:rFonts w:hint="default" w:ascii="Times New Roman" w:hAnsi="Times New Roman" w:eastAsia="方正仿宋_GBK" w:cs="Times New Roman"/>
          <w:sz w:val="32"/>
          <w:szCs w:val="32"/>
        </w:rPr>
        <w:t>41.81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A12A582">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41.81</w:t>
      </w:r>
      <w:r>
        <w:rPr>
          <w:rFonts w:hint="default" w:ascii="Times New Roman" w:hAnsi="Times New Roman" w:eastAsia="方正仿宋_GBK" w:cs="Times New Roman"/>
          <w:sz w:val="32"/>
          <w:szCs w:val="32"/>
          <w:shd w:val="clear" w:color="auto" w:fill="FFFFFF"/>
        </w:rPr>
        <w:t>万元，与2023年度相比，减少277.04万元，下降86.9%，主要原因是2023年12月底国家层面的机构改革导致行政和事业单位分开，事业独立收支，且2024年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较少。其中：基本支出</w:t>
      </w:r>
      <w:r>
        <w:rPr>
          <w:rFonts w:hint="default" w:ascii="Times New Roman" w:hAnsi="Times New Roman" w:eastAsia="方正仿宋_GBK" w:cs="Times New Roman"/>
          <w:sz w:val="32"/>
          <w:szCs w:val="32"/>
        </w:rPr>
        <w:t>41.81</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2947B89">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fill="FFFFFF"/>
        </w:rPr>
        <w:t>与上年决算数持平。</w:t>
      </w:r>
    </w:p>
    <w:p w14:paraId="32488F2D">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黑体" w:cs="Times New Roman"/>
          <w:sz w:val="32"/>
          <w:szCs w:val="32"/>
          <w:shd w:val="clear" w:color="auto" w:fill="FFFFFF"/>
          <w:lang w:val="en-US" w:eastAsia="zh-CN" w:bidi="ar-SA"/>
        </w:rPr>
      </w:pPr>
      <w:r>
        <w:rPr>
          <w:rFonts w:hint="default" w:ascii="Times New Roman" w:hAnsi="Times New Roman" w:eastAsia="黑体" w:cs="Times New Roman"/>
          <w:sz w:val="32"/>
          <w:szCs w:val="32"/>
          <w:shd w:val="clear" w:color="auto" w:fill="FFFFFF"/>
          <w:lang w:val="en-US" w:eastAsia="zh-CN" w:bidi="ar-SA"/>
        </w:rPr>
        <w:t>（二）财政拨款收入支出决算总体情况说明</w:t>
      </w:r>
    </w:p>
    <w:p w14:paraId="00065E93">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度财政拨款收、支总计41.81万元。与202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年相比，财政拨款收、支总计各减少277.04万元，下降86.9%。主要原因是2023年12月底国家层面的机构改革导致行政和事业单位分开，事业独立收支，且2024年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人员转隶分流，收入</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较少。</w:t>
      </w:r>
    </w:p>
    <w:p w14:paraId="5651CF63">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黑体" w:cs="Times New Roman"/>
          <w:sz w:val="32"/>
          <w:szCs w:val="32"/>
          <w:shd w:val="clear" w:color="auto" w:fill="FFFFFF"/>
          <w:lang w:val="en-US" w:eastAsia="zh-CN" w:bidi="ar-SA"/>
        </w:rPr>
      </w:pPr>
      <w:r>
        <w:rPr>
          <w:rFonts w:hint="default" w:ascii="Times New Roman" w:hAnsi="Times New Roman" w:eastAsia="黑体" w:cs="Times New Roman"/>
          <w:sz w:val="32"/>
          <w:szCs w:val="32"/>
          <w:shd w:val="clear" w:color="auto" w:fill="FFFFFF"/>
          <w:lang w:val="en-US" w:eastAsia="zh-CN" w:bidi="ar-SA"/>
        </w:rPr>
        <w:t>（三）一般公共预算财政拨款收入支出决算情况说明</w:t>
      </w:r>
    </w:p>
    <w:p w14:paraId="7F8D05AF">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41.81</w:t>
      </w:r>
      <w:r>
        <w:rPr>
          <w:rFonts w:hint="default" w:ascii="Times New Roman" w:hAnsi="Times New Roman" w:eastAsia="方正仿宋_GBK" w:cs="Times New Roman"/>
          <w:sz w:val="32"/>
          <w:szCs w:val="32"/>
          <w:shd w:val="clear" w:color="auto" w:fill="FFFFFF"/>
        </w:rPr>
        <w:t>万元，与2023年度相比，减少277.04万元，下降86.9%。主要原因是2023年12月底国家层面的机构改革导致行政和事业单位分开，事业独立收支，且2024年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人员转隶分流，收入较少。较年初预算数减少119.72万元，下降74.1%。主要原因是2023年12月底国家层面的机构改革导致行政和事业单位分开，事业独立收支，且2024年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人员转隶分流，较年初预算数减少。此外，年初财政拨款结转和结余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1A8ABD9">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41.81</w:t>
      </w:r>
      <w:r>
        <w:rPr>
          <w:rFonts w:hint="default" w:ascii="Times New Roman" w:hAnsi="Times New Roman" w:eastAsia="方正仿宋_GBK" w:cs="Times New Roman"/>
          <w:sz w:val="32"/>
          <w:szCs w:val="32"/>
          <w:shd w:val="clear" w:color="auto" w:fill="FFFFFF"/>
        </w:rPr>
        <w:t>万元，与2023年度相比，减少277.04万元，下降86.9%。主要原因是2023年12月底国家层面的机构改革导致行政和事业单位分开，事业独立收支，且2024年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较少。较年初预算数减少119.72万元，下降74.1%。主要原因是2023年12月底国家层面的机构改革导致行政和事业单位分开，事业独立收支，且2024年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人员转隶分流，较年初预算数减少。</w:t>
      </w:r>
    </w:p>
    <w:p w14:paraId="4A5DD6A0">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fill="FFFFFF"/>
        </w:rPr>
        <w:t>与上年决算数持平。</w:t>
      </w:r>
    </w:p>
    <w:p w14:paraId="0C961CFD">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5584DFF8">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29.91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71.53</w:t>
      </w:r>
      <w:r>
        <w:rPr>
          <w:rFonts w:hint="default" w:ascii="Times New Roman" w:hAnsi="Times New Roman" w:eastAsia="方正仿宋_GBK" w:cs="Times New Roman"/>
          <w:sz w:val="32"/>
          <w:szCs w:val="32"/>
          <w:shd w:val="clear" w:color="auto" w:fill="FFFFFF"/>
        </w:rPr>
        <w:t>%，较年初预算数减少89.69万元，下降75.0%，主要原因是2023年12月底国家层面的机构改革导致行政和事业单位分开，事业独立收支，且2024年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p>
    <w:p w14:paraId="140348C7">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6.38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15.26</w:t>
      </w:r>
      <w:r>
        <w:rPr>
          <w:rFonts w:hint="default" w:ascii="Times New Roman" w:hAnsi="Times New Roman" w:eastAsia="方正仿宋_GBK" w:cs="Times New Roman"/>
          <w:sz w:val="32"/>
          <w:szCs w:val="32"/>
          <w:shd w:val="clear" w:color="auto" w:fill="FFFFFF"/>
        </w:rPr>
        <w:t>%，较年初预算数减少14.75万元，下降69.8%，主要原因是2023年12月底国家层面的机构改革导致行政和事业单位分开，事业独立收支，且2024年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p>
    <w:p w14:paraId="2639290E">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2.66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6.36</w:t>
      </w:r>
      <w:r>
        <w:rPr>
          <w:rFonts w:hint="default" w:ascii="Times New Roman" w:hAnsi="Times New Roman" w:eastAsia="方正仿宋_GBK" w:cs="Times New Roman"/>
          <w:sz w:val="32"/>
          <w:szCs w:val="32"/>
          <w:shd w:val="clear" w:color="auto" w:fill="FFFFFF"/>
        </w:rPr>
        <w:t>%，较年初预算数减少6.14万元，下降69.8%，主要原因是2023年12月底国家层面的机构改革导致行政和事业单位分开，事业独立收支，且2024年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p>
    <w:p w14:paraId="7C4AA259">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住房保障支出2.86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6.85</w:t>
      </w:r>
      <w:r>
        <w:rPr>
          <w:rFonts w:hint="default" w:ascii="Times New Roman" w:hAnsi="Times New Roman" w:eastAsia="方正仿宋_GBK" w:cs="Times New Roman"/>
          <w:sz w:val="32"/>
          <w:szCs w:val="32"/>
          <w:shd w:val="clear" w:color="auto" w:fill="FFFFFF"/>
        </w:rPr>
        <w:t>%，较年初预算数减少9.14万元，下降76.2%，主要原因是2023年12月底国家层面的机构改革导致行政和事业单位分开，事业独立收支，且2024年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p>
    <w:p w14:paraId="25F731AB">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方正仿宋_GBK" w:cs="Times New Roman"/>
          <w:b/>
          <w:bCs/>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（四）一般公共预算财政拨款基本支出决算情况说明</w:t>
      </w:r>
    </w:p>
    <w:p w14:paraId="692F3778">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41.81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34.27</w:t>
      </w:r>
      <w:r>
        <w:rPr>
          <w:rFonts w:hint="default" w:ascii="Times New Roman" w:hAnsi="Times New Roman" w:eastAsia="方正仿宋_GBK" w:cs="Times New Roman"/>
          <w:sz w:val="32"/>
          <w:szCs w:val="32"/>
          <w:shd w:val="clear" w:color="auto" w:fill="FFFFFF"/>
        </w:rPr>
        <w:t>万元，与2023年度相比，减少217.82万元，下降86.4%，主要原因是2023年12月底国家层面的机构改革导致行政和事业单位分开，事业独立收支，且2024年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fill="FFFFFF"/>
        </w:rPr>
        <w:t>基本工资、津贴补贴、奖金、社会保障缴费。</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7.55</w:t>
      </w:r>
      <w:r>
        <w:rPr>
          <w:rFonts w:hint="default" w:ascii="Times New Roman" w:hAnsi="Times New Roman" w:eastAsia="方正仿宋_GBK" w:cs="Times New Roman"/>
          <w:sz w:val="32"/>
          <w:szCs w:val="32"/>
          <w:shd w:val="clear" w:color="auto" w:fill="FFFFFF"/>
        </w:rPr>
        <w:t>万元，与2023年度相比，减少36.46万元，下降82.8%，主要原因是2023年12月底国家层面的机构改革导致行政和事业单位分开，事业独立收支，且2024年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fill="FFFFFF"/>
        </w:rPr>
        <w:t>办公费、印刷费、咨询费、手续费。</w:t>
      </w:r>
    </w:p>
    <w:p w14:paraId="4B52AFFC">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方正仿宋_GBK" w:cs="Times New Roman"/>
          <w:b/>
          <w:bCs/>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（五）政府性基金预算收支决算情况说明</w:t>
      </w:r>
    </w:p>
    <w:p w14:paraId="1F79B805">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14:paraId="1F48CD7B">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方正仿宋_GBK" w:cs="Times New Roman"/>
          <w:b/>
          <w:bCs/>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（六）国有资本经营预算财政拨款支出决算情况说明</w:t>
      </w:r>
    </w:p>
    <w:p w14:paraId="4BD715FF">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14:paraId="4A84834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黑体" w:cs="Times New Roman"/>
          <w:sz w:val="32"/>
          <w:szCs w:val="32"/>
          <w:shd w:val="clear" w:color="auto" w:fill="FFFFFF"/>
          <w:lang w:val="en-US" w:eastAsia="zh-CN" w:bidi="ar-SA"/>
        </w:rPr>
      </w:pPr>
      <w:r>
        <w:rPr>
          <w:rFonts w:hint="default" w:ascii="Times New Roman" w:hAnsi="Times New Roman" w:eastAsia="黑体" w:cs="Times New Roman"/>
          <w:sz w:val="32"/>
          <w:szCs w:val="32"/>
          <w:shd w:val="clear" w:color="auto" w:fill="FFFFFF"/>
          <w:lang w:val="en-US" w:eastAsia="zh-CN" w:bidi="ar-SA"/>
        </w:rPr>
        <w:t>三、财政拨款“三公”经费情况说明</w:t>
      </w:r>
    </w:p>
    <w:p w14:paraId="2C43E4CF">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方正仿宋_GBK" w:cs="Times New Roman"/>
          <w:b/>
          <w:bCs/>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 xml:space="preserve"> （一）“三公”经费支出总体情况说明</w:t>
      </w:r>
    </w:p>
    <w:p w14:paraId="55C38B85">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1.77</w:t>
      </w:r>
      <w:r>
        <w:rPr>
          <w:rFonts w:hint="default" w:ascii="Times New Roman" w:hAnsi="Times New Roman" w:eastAsia="方正仿宋_GBK" w:cs="Times New Roman"/>
          <w:sz w:val="32"/>
          <w:szCs w:val="32"/>
          <w:shd w:val="clear" w:color="auto" w:fill="FFFFFF"/>
        </w:rPr>
        <w:t>万元，较年初预算数减少1.73万元，下降49.4%，主要原因是2023年12月底国家层面的机构改革导致行政和事业单位分开，事业独立收支，且2024年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r>
        <w:rPr>
          <w:rFonts w:hint="default" w:ascii="Times New Roman" w:hAnsi="Times New Roman" w:eastAsia="方正仿宋_GBK" w:cs="Times New Roman"/>
          <w:sz w:val="32"/>
          <w:szCs w:val="32"/>
          <w:shd w:val="clear" w:color="auto" w:fill="FFFFFF"/>
        </w:rPr>
        <w:t>较上年支出数减少2.23万元，下降55.8%，主要原因是2023年12月底国家层面的机构改革导致行政和事业单位分开，事业独立收支，且2024年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p>
    <w:p w14:paraId="53EF35A6">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10538105">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宋体" w:cs="Times New Roman"/>
          <w:sz w:val="32"/>
          <w:szCs w:val="32"/>
        </w:rPr>
        <w:t>202</w:t>
      </w:r>
      <w:r>
        <w:rPr>
          <w:rFonts w:hint="default"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年度未发生因公出国（境）费用支出。</w:t>
      </w:r>
    </w:p>
    <w:p w14:paraId="23DFE0D6">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5"/>
        <w:jc w:val="both"/>
        <w:rPr>
          <w:rFonts w:hint="default" w:ascii="Times New Roman" w:hAnsi="Times New Roman" w:cs="Times New Roman"/>
        </w:rPr>
      </w:pPr>
      <w:r>
        <w:rPr>
          <w:rFonts w:hint="default" w:ascii="Times New Roman" w:hAnsi="Times New Roman" w:eastAsia="方正仿宋_GBK" w:cs="Times New Roman"/>
          <w:sz w:val="32"/>
          <w:szCs w:val="32"/>
        </w:rPr>
        <w:t>公务车购置费</w:t>
      </w:r>
      <w:r>
        <w:rPr>
          <w:rFonts w:hint="default" w:ascii="Times New Roman" w:hAnsi="Times New Roman" w:cs="Times New Roman"/>
          <w:sz w:val="32"/>
          <w:szCs w:val="32"/>
        </w:rPr>
        <w:t>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年度未发生公务车购置费支出。</w:t>
      </w:r>
    </w:p>
    <w:p w14:paraId="21F4ABEC">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1.77</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rPr>
        <w:t>执法执勤、日常巡逻、景区工作检查等工作所需车辆的燃料费、维修费、过桥过路费、保险费等</w:t>
      </w:r>
      <w:r>
        <w:rPr>
          <w:rFonts w:hint="default" w:ascii="Times New Roman" w:hAnsi="Times New Roman" w:eastAsia="方正仿宋_GBK" w:cs="Times New Roman"/>
          <w:sz w:val="32"/>
          <w:szCs w:val="32"/>
          <w:shd w:val="clear" w:fill="FFFFFF"/>
        </w:rPr>
        <w:t>。</w:t>
      </w:r>
      <w:r>
        <w:rPr>
          <w:rFonts w:hint="default" w:ascii="Times New Roman" w:hAnsi="Times New Roman" w:eastAsia="方正仿宋_GBK" w:cs="Times New Roman"/>
          <w:sz w:val="32"/>
          <w:szCs w:val="32"/>
          <w:shd w:val="clear" w:color="auto" w:fill="FFFFFF"/>
        </w:rPr>
        <w:t>费用支出较年初预算数减少1.73万元，下降49.4%，主要原因是2024年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公务用车较少，相关预算数减少。</w:t>
      </w:r>
      <w:r>
        <w:rPr>
          <w:rFonts w:hint="default" w:ascii="Times New Roman" w:hAnsi="Times New Roman" w:eastAsia="方正仿宋_GBK" w:cs="Times New Roman"/>
          <w:sz w:val="32"/>
          <w:szCs w:val="32"/>
          <w:shd w:val="clear" w:color="auto" w:fill="FFFFFF"/>
        </w:rPr>
        <w:t>较上年支出数减少2.23万元，下降55.8%，主要原因是</w:t>
      </w:r>
      <w:r>
        <w:rPr>
          <w:rFonts w:hint="default" w:ascii="Times New Roman" w:hAnsi="Times New Roman" w:eastAsia="方正仿宋_GBK" w:cs="Times New Roman"/>
          <w:sz w:val="32"/>
          <w:szCs w:val="32"/>
        </w:rPr>
        <w:t>严格落实公车使用规定，公车运行维护成本大幅下降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且</w:t>
      </w:r>
      <w:r>
        <w:rPr>
          <w:rFonts w:hint="default" w:ascii="Times New Roman" w:hAnsi="Times New Roman" w:eastAsia="方正仿宋_GBK" w:cs="Times New Roman"/>
          <w:sz w:val="32"/>
          <w:szCs w:val="32"/>
          <w:shd w:val="clear" w:color="auto" w:fill="FFFFFF"/>
        </w:rPr>
        <w:t>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公务用车较少，相关预算数减少。</w:t>
      </w:r>
    </w:p>
    <w:p w14:paraId="268861B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w:t>
      </w:r>
      <w:r>
        <w:rPr>
          <w:rFonts w:hint="default" w:ascii="Times New Roman" w:hAnsi="Times New Roman" w:eastAsia="宋体" w:cs="Times New Roman"/>
          <w:sz w:val="32"/>
          <w:szCs w:val="32"/>
        </w:rPr>
        <w:t>202</w:t>
      </w:r>
      <w:r>
        <w:rPr>
          <w:rFonts w:hint="default"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年度未发生</w:t>
      </w:r>
      <w:r>
        <w:rPr>
          <w:rFonts w:hint="default" w:ascii="Times New Roman" w:hAnsi="Times New Roman" w:eastAsia="方正仿宋_GBK" w:cs="Times New Roman"/>
          <w:sz w:val="32"/>
          <w:szCs w:val="32"/>
          <w:shd w:val="clear" w:fill="FFFFFF"/>
        </w:rPr>
        <w:t>公务接待费</w:t>
      </w:r>
      <w:r>
        <w:rPr>
          <w:rFonts w:hint="default" w:ascii="Times New Roman" w:hAnsi="Times New Roman" w:eastAsia="方正仿宋_GBK" w:cs="Times New Roman"/>
          <w:sz w:val="32"/>
          <w:szCs w:val="32"/>
        </w:rPr>
        <w:t>支出。</w:t>
      </w:r>
    </w:p>
    <w:p w14:paraId="21FBE610">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楷体" w:cs="Times New Roman"/>
          <w:sz w:val="32"/>
          <w:szCs w:val="32"/>
          <w:shd w:val="clear" w:color="auto" w:fill="FFFFFF"/>
          <w:lang w:val="en-US" w:eastAsia="zh-CN" w:bidi="ar-SA"/>
        </w:rPr>
      </w:pPr>
      <w:r>
        <w:rPr>
          <w:rFonts w:hint="default" w:ascii="Times New Roman" w:hAnsi="Times New Roman" w:eastAsia="楷体" w:cs="Times New Roman"/>
          <w:sz w:val="32"/>
          <w:szCs w:val="32"/>
          <w:shd w:val="clear" w:color="auto" w:fill="FFFFFF"/>
          <w:lang w:val="en-US" w:eastAsia="zh-CN" w:bidi="ar-SA"/>
        </w:rPr>
        <w:t>（三）“三公”经费实物量情况</w:t>
      </w:r>
    </w:p>
    <w:p w14:paraId="5C980586">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1.77</w:t>
      </w:r>
      <w:r>
        <w:rPr>
          <w:rFonts w:hint="default" w:ascii="Times New Roman" w:hAnsi="Times New Roman" w:eastAsia="方正仿宋_GBK" w:cs="Times New Roman"/>
          <w:sz w:val="32"/>
          <w:szCs w:val="32"/>
          <w:shd w:val="clear" w:color="auto" w:fill="FFFFFF"/>
        </w:rPr>
        <w:t>万元。</w:t>
      </w:r>
    </w:p>
    <w:p w14:paraId="3127CE8C">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黑体" w:cs="Times New Roman"/>
          <w:sz w:val="32"/>
          <w:szCs w:val="32"/>
          <w:shd w:val="clear" w:color="auto" w:fill="FFFFFF"/>
          <w:lang w:val="en-US" w:eastAsia="zh-CN" w:bidi="ar-SA"/>
        </w:rPr>
      </w:pPr>
      <w:r>
        <w:rPr>
          <w:rFonts w:hint="default" w:ascii="Times New Roman" w:hAnsi="Times New Roman" w:eastAsia="黑体" w:cs="Times New Roman"/>
          <w:sz w:val="32"/>
          <w:szCs w:val="32"/>
          <w:shd w:val="clear" w:color="auto" w:fill="FFFFFF"/>
          <w:lang w:val="en-US" w:eastAsia="zh-CN" w:bidi="ar-SA"/>
        </w:rPr>
        <w:t>其他需要说明的事项</w:t>
      </w:r>
    </w:p>
    <w:p w14:paraId="7E54999E">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sz w:val="32"/>
          <w:szCs w:val="32"/>
          <w:shd w:val="clear" w:color="auto" w:fill="FFFFFF"/>
          <w:lang w:val="en-US" w:eastAsia="zh-CN" w:bidi="ar-SA"/>
        </w:rPr>
        <w:t>（一）财政拨款会议费和培训费情况说明</w:t>
      </w:r>
    </w:p>
    <w:p w14:paraId="3FD396DF">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fill="FFFFFF"/>
        </w:rPr>
        <w:t>本</w:t>
      </w:r>
      <w:r>
        <w:rPr>
          <w:rFonts w:hint="default" w:ascii="Times New Roman" w:hAnsi="Times New Roman" w:eastAsia="方正仿宋_GBK" w:cs="Times New Roman"/>
          <w:sz w:val="32"/>
          <w:szCs w:val="32"/>
          <w:shd w:val="clear" w:fill="FFFFFF"/>
          <w:lang w:val="en-US" w:eastAsia="zh-CN"/>
        </w:rPr>
        <w:t>单位</w:t>
      </w:r>
      <w:r>
        <w:rPr>
          <w:rFonts w:hint="default" w:ascii="Times New Roman" w:hAnsi="Times New Roman" w:eastAsia="宋体" w:cs="Times New Roman"/>
          <w:sz w:val="32"/>
          <w:szCs w:val="32"/>
          <w:shd w:val="clear" w:fill="FFFFFF"/>
        </w:rPr>
        <w:t>2024</w:t>
      </w:r>
      <w:r>
        <w:rPr>
          <w:rFonts w:hint="default" w:ascii="Times New Roman" w:hAnsi="Times New Roman" w:eastAsia="方正仿宋_GBK" w:cs="Times New Roman"/>
          <w:sz w:val="32"/>
          <w:szCs w:val="32"/>
          <w:shd w:val="clear" w:fill="FFFFFF"/>
        </w:rPr>
        <w:t>年度未开展大型会议</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万元，与2023年度相比，减少0.10万元，下降100.0%，主要原因是2024年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单位撤销，2024年度未开展相关培训。</w:t>
      </w:r>
    </w:p>
    <w:p w14:paraId="7EF30AB9">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楷体" w:cs="Times New Roman"/>
          <w:sz w:val="32"/>
          <w:szCs w:val="32"/>
          <w:shd w:val="clear" w:color="auto" w:fill="FFFFFF"/>
          <w:lang w:val="en-US" w:eastAsia="zh-CN" w:bidi="ar-SA"/>
        </w:rPr>
      </w:pPr>
      <w:r>
        <w:rPr>
          <w:rFonts w:hint="default" w:ascii="Times New Roman" w:hAnsi="Times New Roman" w:eastAsia="楷体" w:cs="Times New Roman"/>
          <w:sz w:val="32"/>
          <w:szCs w:val="32"/>
          <w:shd w:val="clear" w:color="auto" w:fill="FFFFFF"/>
          <w:lang w:val="en-US" w:eastAsia="zh-CN" w:bidi="ar-SA"/>
        </w:rPr>
        <w:t>（二）机关运行经费情况说明</w:t>
      </w:r>
    </w:p>
    <w:p w14:paraId="2D5C5F11">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7.55</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sz w:val="32"/>
          <w:szCs w:val="32"/>
        </w:rPr>
        <w:t>开支办公费、公务车运行维护费、执法</w:t>
      </w:r>
      <w:r>
        <w:rPr>
          <w:rFonts w:hint="eastAsia" w:ascii="Times New Roman" w:hAnsi="Times New Roman" w:eastAsia="方正仿宋_GBK" w:cs="Times New Roman"/>
          <w:sz w:val="32"/>
          <w:szCs w:val="32"/>
          <w:lang w:eastAsia="zh-CN"/>
        </w:rPr>
        <w:t>队伍</w:t>
      </w:r>
      <w:r>
        <w:rPr>
          <w:rFonts w:hint="default" w:ascii="Times New Roman" w:hAnsi="Times New Roman" w:eastAsia="方正仿宋_GBK" w:cs="Times New Roman"/>
          <w:sz w:val="32"/>
          <w:szCs w:val="32"/>
        </w:rPr>
        <w:t>建设等</w:t>
      </w:r>
      <w:r>
        <w:rPr>
          <w:rFonts w:hint="default" w:ascii="Times New Roman" w:hAnsi="Times New Roman" w:eastAsia="方正仿宋_GBK" w:cs="Times New Roman"/>
          <w:sz w:val="32"/>
          <w:szCs w:val="32"/>
          <w:shd w:val="clear" w:fill="FFFFFF"/>
        </w:rPr>
        <w:t>。</w:t>
      </w:r>
      <w:r>
        <w:rPr>
          <w:rFonts w:hint="default" w:ascii="Times New Roman" w:hAnsi="Times New Roman" w:eastAsia="方正仿宋_GBK" w:cs="Times New Roman"/>
          <w:sz w:val="32"/>
          <w:szCs w:val="32"/>
          <w:shd w:val="clear" w:color="auto" w:fill="FFFFFF"/>
        </w:rPr>
        <w:t>机关运行经费较上年支出数减少36.46万元，下降82.8%，主要原因是2024年</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单位撤销，人员转隶，机关运行经费减少。</w:t>
      </w:r>
    </w:p>
    <w:p w14:paraId="646D8DC9">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楷体" w:cs="Times New Roman"/>
          <w:sz w:val="32"/>
          <w:szCs w:val="32"/>
          <w:shd w:val="clear" w:color="auto" w:fill="FFFFFF"/>
          <w:lang w:val="en-US" w:eastAsia="zh-CN" w:bidi="ar-SA"/>
        </w:rPr>
      </w:pPr>
      <w:r>
        <w:rPr>
          <w:rFonts w:hint="default" w:ascii="Times New Roman" w:hAnsi="Times New Roman" w:eastAsia="楷体" w:cs="Times New Roman"/>
          <w:sz w:val="32"/>
          <w:szCs w:val="32"/>
          <w:shd w:val="clear" w:color="auto" w:fill="FFFFFF"/>
          <w:lang w:val="en-US" w:eastAsia="zh-CN" w:bidi="ar-SA"/>
        </w:rPr>
        <w:t>（三）国有资产占用情况说明</w:t>
      </w:r>
    </w:p>
    <w:p w14:paraId="6C9FD61E">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D761AE3">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楷体" w:cs="Times New Roman"/>
          <w:sz w:val="32"/>
          <w:szCs w:val="32"/>
          <w:shd w:val="clear" w:color="auto" w:fill="FFFFFF"/>
          <w:lang w:val="en-US" w:eastAsia="zh-CN" w:bidi="ar-SA"/>
        </w:rPr>
      </w:pPr>
      <w:r>
        <w:rPr>
          <w:rFonts w:hint="default" w:ascii="Times New Roman" w:hAnsi="Times New Roman" w:eastAsia="楷体" w:cs="Times New Roman"/>
          <w:sz w:val="32"/>
          <w:szCs w:val="32"/>
          <w:shd w:val="clear" w:color="auto" w:fill="FFFFFF"/>
          <w:lang w:val="en-US" w:eastAsia="zh-CN" w:bidi="ar-SA"/>
        </w:rPr>
        <w:t>（四）政府采购支出情况说明</w:t>
      </w:r>
    </w:p>
    <w:p w14:paraId="6569D1EE">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度我单位未发生政府采购事项，无相关经费支出。</w:t>
      </w:r>
    </w:p>
    <w:p w14:paraId="29132E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left="0" w:right="0" w:firstLine="645"/>
        <w:jc w:val="both"/>
        <w:rPr>
          <w:rFonts w:hint="default"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shd w:val="clear" w:color="auto" w:fill="FFFFFF"/>
          <w:lang w:val="en-US" w:eastAsia="zh-CN"/>
        </w:rPr>
        <w:t>五、2024年度预算绩效管理情况说明</w:t>
      </w:r>
    </w:p>
    <w:p w14:paraId="4F83DA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left="0" w:right="0" w:firstLine="645"/>
        <w:jc w:val="both"/>
        <w:rPr>
          <w:rFonts w:hint="default" w:ascii="Times New Roman" w:hAnsi="Times New Roman" w:eastAsia="楷体" w:cs="Times New Roman"/>
          <w:sz w:val="32"/>
          <w:szCs w:val="32"/>
          <w:shd w:val="clear" w:color="auto" w:fill="FFFFFF"/>
        </w:rPr>
      </w:pPr>
      <w:r>
        <w:rPr>
          <w:rFonts w:hint="default" w:ascii="Times New Roman" w:hAnsi="Times New Roman" w:eastAsia="楷体" w:cs="Times New Roman"/>
          <w:sz w:val="32"/>
          <w:szCs w:val="32"/>
          <w:shd w:val="clear" w:color="auto" w:fill="FFFFFF"/>
          <w:lang w:eastAsia="zh-CN"/>
        </w:rPr>
        <w:t>（</w:t>
      </w:r>
      <w:r>
        <w:rPr>
          <w:rFonts w:hint="default" w:ascii="Times New Roman" w:hAnsi="Times New Roman" w:eastAsia="楷体" w:cs="Times New Roman"/>
          <w:sz w:val="32"/>
          <w:szCs w:val="32"/>
          <w:shd w:val="clear" w:color="auto" w:fill="FFFFFF"/>
          <w:lang w:val="en-US" w:eastAsia="zh-CN"/>
        </w:rPr>
        <w:t>一</w:t>
      </w:r>
      <w:r>
        <w:rPr>
          <w:rFonts w:hint="default" w:ascii="Times New Roman" w:hAnsi="Times New Roman" w:eastAsia="楷体" w:cs="Times New Roman"/>
          <w:sz w:val="32"/>
          <w:szCs w:val="32"/>
          <w:shd w:val="clear" w:color="auto" w:fill="FFFFFF"/>
          <w:lang w:eastAsia="zh-CN"/>
        </w:rPr>
        <w:t>）</w:t>
      </w:r>
      <w:r>
        <w:rPr>
          <w:rFonts w:hint="default" w:ascii="Times New Roman" w:hAnsi="Times New Roman" w:eastAsia="楷体" w:cs="Times New Roman"/>
          <w:sz w:val="32"/>
          <w:szCs w:val="32"/>
          <w:shd w:val="clear" w:color="auto" w:fill="FFFFFF"/>
        </w:rPr>
        <w:t>单位自评情况</w:t>
      </w:r>
    </w:p>
    <w:p w14:paraId="73D8BDF1">
      <w:pPr>
        <w:pStyle w:val="10"/>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方正仿宋_GBK" w:cs="Times New Roman"/>
          <w:sz w:val="32"/>
          <w:szCs w:val="32"/>
          <w:shd w:val="clear" w:color="auto" w:fill="FFFFFF"/>
          <w:lang w:val="en-US" w:eastAsia="zh-CN" w:bidi="ar-SA"/>
        </w:rPr>
        <w:t>2024年</w:t>
      </w:r>
      <w:r>
        <w:rPr>
          <w:rFonts w:hint="eastAsia" w:ascii="Times New Roman" w:hAnsi="Times New Roman" w:eastAsia="方正仿宋_GBK" w:cs="Times New Roman"/>
          <w:sz w:val="32"/>
          <w:szCs w:val="32"/>
          <w:shd w:val="clear" w:color="auto" w:fill="FFFFFF"/>
          <w:lang w:val="en-US" w:eastAsia="zh-CN" w:bidi="ar-SA"/>
        </w:rPr>
        <w:t>2</w:t>
      </w:r>
      <w:r>
        <w:rPr>
          <w:rFonts w:hint="default" w:ascii="Times New Roman" w:hAnsi="Times New Roman" w:eastAsia="方正仿宋_GBK" w:cs="Times New Roman"/>
          <w:sz w:val="32"/>
          <w:szCs w:val="32"/>
          <w:shd w:val="clear" w:color="auto" w:fill="FFFFFF"/>
          <w:lang w:val="en-US" w:eastAsia="zh-CN" w:bidi="ar-SA"/>
        </w:rPr>
        <w:t>月由于“三攻坚一盘活”机构改革，单位撤销，人员转隶分流，我单位未开展自评。</w:t>
      </w:r>
    </w:p>
    <w:p w14:paraId="1D4231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left="0" w:right="0" w:firstLine="645"/>
        <w:jc w:val="both"/>
        <w:rPr>
          <w:rFonts w:hint="default" w:ascii="Times New Roman" w:hAnsi="Times New Roman" w:eastAsia="楷体" w:cs="Times New Roman"/>
          <w:sz w:val="32"/>
          <w:szCs w:val="32"/>
          <w:shd w:val="clear" w:color="auto" w:fill="FFFFFF"/>
        </w:rPr>
      </w:pPr>
      <w:r>
        <w:rPr>
          <w:rFonts w:hint="default" w:ascii="Times New Roman" w:hAnsi="Times New Roman" w:eastAsia="楷体" w:cs="Times New Roman"/>
          <w:sz w:val="32"/>
          <w:szCs w:val="32"/>
          <w:shd w:val="clear" w:color="auto" w:fill="FFFFFF"/>
        </w:rPr>
        <w:t>（二）部门绩效评价情况</w:t>
      </w:r>
    </w:p>
    <w:p w14:paraId="7D56CEB2">
      <w:pPr>
        <w:pStyle w:val="12"/>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w:t>
      </w:r>
      <w:r>
        <w:rPr>
          <w:rFonts w:hint="default" w:ascii="Times New Roman" w:hAnsi="Times New Roman" w:eastAsia="方正仿宋_GBK" w:cs="Times New Roman"/>
          <w:kern w:val="0"/>
          <w:sz w:val="32"/>
          <w:szCs w:val="32"/>
          <w:shd w:val="clear" w:fill="FFFFFF"/>
          <w:lang w:val="en-US" w:eastAsia="zh-CN"/>
        </w:rPr>
        <w:t>单位</w:t>
      </w:r>
      <w:r>
        <w:rPr>
          <w:rFonts w:hint="default" w:ascii="Times New Roman" w:hAnsi="Times New Roman" w:eastAsia="方正仿宋_GBK" w:cs="Times New Roman"/>
          <w:kern w:val="0"/>
          <w:sz w:val="32"/>
          <w:szCs w:val="32"/>
          <w:shd w:val="clear" w:fill="FFFFFF"/>
        </w:rPr>
        <w:t>未组织开展绩效评价</w:t>
      </w:r>
    </w:p>
    <w:p w14:paraId="12A133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left="0" w:right="0" w:firstLine="645"/>
        <w:jc w:val="both"/>
        <w:rPr>
          <w:rFonts w:hint="default" w:ascii="Times New Roman" w:hAnsi="Times New Roman" w:eastAsia="楷体" w:cs="Times New Roman"/>
          <w:sz w:val="32"/>
          <w:szCs w:val="32"/>
          <w:shd w:val="clear" w:color="auto" w:fill="FFFFFF"/>
        </w:rPr>
      </w:pPr>
      <w:r>
        <w:rPr>
          <w:rFonts w:hint="default" w:ascii="Times New Roman" w:hAnsi="Times New Roman" w:eastAsia="楷体" w:cs="Times New Roman"/>
          <w:sz w:val="32"/>
          <w:szCs w:val="32"/>
          <w:shd w:val="clear" w:color="auto" w:fill="FFFFFF"/>
          <w:lang w:val="en-US" w:eastAsia="zh-CN"/>
        </w:rPr>
        <w:t>（三）财政绩效评价情况</w:t>
      </w:r>
    </w:p>
    <w:p w14:paraId="0E59DECB">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fill="FFFFFF"/>
          <w:lang w:eastAsia="zh-CN"/>
        </w:rPr>
        <w:t>县</w:t>
      </w:r>
      <w:r>
        <w:rPr>
          <w:rFonts w:hint="default" w:ascii="Times New Roman" w:hAnsi="Times New Roman" w:eastAsia="方正仿宋_GBK" w:cs="Times New Roman"/>
          <w:kern w:val="0"/>
          <w:sz w:val="32"/>
          <w:szCs w:val="32"/>
          <w:shd w:val="clear" w:fill="FFFFFF"/>
        </w:rPr>
        <w:t>财政局未委托第三方对我</w:t>
      </w:r>
      <w:r>
        <w:rPr>
          <w:rFonts w:hint="default" w:ascii="Times New Roman" w:hAnsi="Times New Roman" w:eastAsia="方正仿宋_GBK" w:cs="Times New Roman"/>
          <w:kern w:val="0"/>
          <w:sz w:val="32"/>
          <w:szCs w:val="32"/>
          <w:shd w:val="clear" w:fill="FFFFFF"/>
          <w:lang w:val="en-US" w:eastAsia="zh-CN"/>
        </w:rPr>
        <w:t>单位</w:t>
      </w:r>
      <w:r>
        <w:rPr>
          <w:rFonts w:hint="default" w:ascii="Times New Roman" w:hAnsi="Times New Roman" w:eastAsia="方正仿宋_GBK" w:cs="Times New Roman"/>
          <w:kern w:val="0"/>
          <w:sz w:val="32"/>
          <w:szCs w:val="32"/>
          <w:shd w:val="clear" w:fill="FFFFFF"/>
        </w:rPr>
        <w:t>开展绩效评价。</w:t>
      </w: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w:t>
      </w:r>
    </w:p>
    <w:p w14:paraId="300EB9FA">
      <w:pPr>
        <w:pStyle w:val="9"/>
        <w:numPr>
          <w:ilvl w:val="0"/>
          <w:numId w:val="0"/>
        </w:numPr>
        <w:autoSpaceDE w:val="0"/>
        <w:ind w:firstLine="640" w:firstLineChars="200"/>
        <w:rPr>
          <w:rFonts w:hint="default" w:ascii="方正黑体_GBK" w:hAnsi="方正黑体_GBK" w:eastAsia="方正黑体_GBK" w:cs="方正黑体_GBK"/>
          <w:b w:val="0"/>
          <w:bCs w:val="0"/>
          <w:sz w:val="32"/>
          <w:szCs w:val="32"/>
          <w:shd w:val="clear" w:color="auto" w:fill="FFFFFF"/>
        </w:rPr>
      </w:pPr>
      <w:r>
        <w:rPr>
          <w:rFonts w:hint="default" w:ascii="方正黑体_GBK" w:hAnsi="方正黑体_GBK" w:eastAsia="方正黑体_GBK" w:cs="方正黑体_GBK"/>
          <w:b w:val="0"/>
          <w:bCs w:val="0"/>
          <w:sz w:val="32"/>
          <w:szCs w:val="32"/>
          <w:shd w:val="clear" w:color="auto" w:fill="FFFFFF"/>
          <w:lang w:val="en-US" w:eastAsia="zh-CN"/>
        </w:rPr>
        <w:t>六、专业名词解释</w:t>
      </w:r>
    </w:p>
    <w:p w14:paraId="7D70A96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642ABD79">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33CB5D76">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09EABA52">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2C92FCB">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其他收入”等不足以安排当年支出的情况下，使用以前年度积累的非财政拨款结余弥补本年度收支缺口的资金。</w:t>
      </w:r>
    </w:p>
    <w:p w14:paraId="5D6315F7">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56F3F90F">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11A2F8B7">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12B6077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66D433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5E1DF6AC">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72490B88">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7CC6948">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ACD05D6">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7555E2D3">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0864C447">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7789D986">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F1620F0">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b w:val="0"/>
          <w:bCs w:val="0"/>
          <w:sz w:val="32"/>
          <w:szCs w:val="32"/>
          <w:shd w:val="clear" w:color="auto" w:fill="FFFFFF"/>
          <w:lang w:val="en-US" w:eastAsia="zh-CN" w:bidi="ar-SA"/>
        </w:rPr>
      </w:pPr>
      <w:r>
        <w:rPr>
          <w:rFonts w:hint="default" w:ascii="黑体" w:hAnsi="黑体" w:eastAsia="黑体" w:cs="黑体"/>
          <w:b w:val="0"/>
          <w:bCs w:val="0"/>
          <w:sz w:val="32"/>
          <w:szCs w:val="32"/>
          <w:shd w:val="clear" w:color="auto" w:fill="FFFFFF"/>
          <w:lang w:val="en-US" w:eastAsia="zh-CN" w:bidi="ar-SA"/>
        </w:rPr>
        <w:t>七、决算公开联系方式及信息反馈渠道</w:t>
      </w:r>
    </w:p>
    <w:p w14:paraId="78015EC2">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0" w:firstLine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r>
        <w:rPr>
          <w:rFonts w:hint="eastAsia" w:ascii="方正仿宋_GBK" w:hAnsi="方正仿宋_GBK" w:eastAsia="方正仿宋_GBK" w:cs="方正仿宋_GBK"/>
          <w:b w:val="0"/>
          <w:bCs w:val="0"/>
          <w:i w:val="0"/>
          <w:iCs w:val="0"/>
          <w:caps w:val="0"/>
          <w:color w:val="000000"/>
          <w:spacing w:val="0"/>
          <w:kern w:val="0"/>
          <w:sz w:val="32"/>
          <w:szCs w:val="32"/>
          <w:lang w:eastAsia="zh-CN"/>
        </w:rPr>
        <w:t>周妍</w:t>
      </w:r>
      <w:r>
        <w:rPr>
          <w:rFonts w:hint="eastAsia" w:ascii="方正仿宋_GBK" w:hAnsi="方正仿宋_GBK" w:eastAsia="方正仿宋_GBK" w:cs="方正仿宋_GBK"/>
          <w:b w:val="0"/>
          <w:bCs w:val="0"/>
          <w:i w:val="0"/>
          <w:iCs w:val="0"/>
          <w:caps w:val="0"/>
          <w:color w:val="000000"/>
          <w:spacing w:val="0"/>
          <w:kern w:val="0"/>
          <w:sz w:val="32"/>
          <w:szCs w:val="32"/>
          <w:lang w:val="en-US" w:eastAsia="zh-CN"/>
        </w:rPr>
        <w:t>君</w:t>
      </w:r>
      <w:r>
        <w:rPr>
          <w:rFonts w:hint="default" w:ascii="Times New Roman" w:hAnsi="Times New Roman" w:eastAsia="方正仿宋_GBK" w:cs="方正仿宋_GBK"/>
          <w:b w:val="0"/>
          <w:bCs w:val="0"/>
          <w:i w:val="0"/>
          <w:iCs w:val="0"/>
          <w:caps w:val="0"/>
          <w:color w:val="000000"/>
          <w:spacing w:val="0"/>
          <w:kern w:val="0"/>
          <w:sz w:val="32"/>
          <w:szCs w:val="32"/>
        </w:rPr>
        <w:t>023-51723755</w:t>
      </w:r>
    </w:p>
    <w:p w14:paraId="7AE72F94">
      <w:pPr>
        <w:pStyle w:val="9"/>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color w:val="FF0000"/>
          <w:kern w:val="0"/>
          <w:sz w:val="32"/>
          <w:szCs w:val="32"/>
          <w:shd w:val="clear" w:fill="FFFFFF"/>
        </w:rPr>
        <w:t xml:space="preserve"> </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4E57F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E7B767D">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2B28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FF87DAF">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巫溪县红池坝景区管委会（本级）</w:t>
            </w:r>
          </w:p>
        </w:tc>
        <w:tc>
          <w:tcPr>
            <w:tcW w:w="4419" w:type="dxa"/>
            <w:tcBorders>
              <w:top w:val="nil"/>
              <w:left w:val="nil"/>
              <w:bottom w:val="nil"/>
              <w:right w:val="nil"/>
            </w:tcBorders>
            <w:shd w:val="clear" w:color="auto" w:fill="auto"/>
            <w:vAlign w:val="bottom"/>
          </w:tcPr>
          <w:p w14:paraId="0A6A3D5D">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3413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5A63DA4A">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14:paraId="14953635">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0D6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7C16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F82E64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4070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B3CD5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192D9D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064CF06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2B4EE09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63132BF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6A22001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3657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4A736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E243C1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A44329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2255503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60318C4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2D5DC31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4280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02C83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1BE5FE3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1F8871C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41.81 </w:t>
            </w:r>
          </w:p>
        </w:tc>
        <w:tc>
          <w:tcPr>
            <w:tcW w:w="4950" w:type="dxa"/>
            <w:tcBorders>
              <w:top w:val="nil"/>
              <w:left w:val="nil"/>
              <w:bottom w:val="single" w:color="000000" w:sz="4" w:space="0"/>
              <w:right w:val="single" w:color="000000" w:sz="4" w:space="0"/>
            </w:tcBorders>
            <w:shd w:val="clear" w:color="auto" w:fill="auto"/>
            <w:vAlign w:val="center"/>
          </w:tcPr>
          <w:p w14:paraId="0754087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1FFCC93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6824A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29.91 </w:t>
            </w:r>
          </w:p>
        </w:tc>
      </w:tr>
      <w:tr w14:paraId="38DA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E4D9B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8EAC1A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F14EE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5AF228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037541D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D68793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23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65690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70156E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78D5163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8E5C1C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1557955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CCE116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27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6E220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EBF238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A33714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44D69F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744EA56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B397F5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E6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D255A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47931B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24C76C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7D10BE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A06C1B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7531F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61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4B0E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186675E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5D3D421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81CD57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E23196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56456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FE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41519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C2EB26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1A64136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315189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290916B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10C8B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BA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D691B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4B6DC70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04461D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2CB635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2C7E72E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7B2154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6.38 </w:t>
            </w:r>
          </w:p>
        </w:tc>
      </w:tr>
      <w:tr w14:paraId="1FC3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155081">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1C6129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E6E4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23BE24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E82EB3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6C4089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2.66 </w:t>
            </w:r>
          </w:p>
        </w:tc>
      </w:tr>
      <w:tr w14:paraId="09B3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55625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29140F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24C3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99C26E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CBCE73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164C8F2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10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B9959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5E12F6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83E98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3368A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EB3638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C074CC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C9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91F5E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8F92BC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F4AC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2FBB5D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B56E36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8E4F4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D8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54863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D14D40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25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7BCE92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81B27F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6F380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25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AD8E7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154BDD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D189C5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134881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1AFC24D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EB4CB7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558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FDA1D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08E1D1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F61A8D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BC49DA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52298A3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EB3596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3A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BF7723">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277D8E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04A9514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4BD539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7FC5F00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ED1A3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1C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E01E9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2ADE54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CF9E79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0A965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0B77C7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3574A9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60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FB24F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762D40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4B2132E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C58B5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63E3D4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D760E9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E0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99F25E">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47659B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299AE9C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197790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50275E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1057D7A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2.86 </w:t>
            </w:r>
          </w:p>
        </w:tc>
      </w:tr>
      <w:tr w14:paraId="79B6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6A386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F41DB4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7959EC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038C0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E887B5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2F609F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5D9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79524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C00EFA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351A9A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C3DF9F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B31134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AB913B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49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71CEC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1FF874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1257A4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A7585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62B4618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12CAB2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DA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91FA3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7B238A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E92125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E0E922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5191F3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515D69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37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15D44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03D2D8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297B437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DE0F0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17CC38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A6E88E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D0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6D158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F6576B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8F82CC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803A22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0E47709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486A9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79A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11163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919D00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13EFDD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BF2E7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4AAD40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9ED020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4F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46529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D89F6D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78FDD56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41.81 </w:t>
            </w:r>
          </w:p>
        </w:tc>
        <w:tc>
          <w:tcPr>
            <w:tcW w:w="4950" w:type="dxa"/>
            <w:tcBorders>
              <w:top w:val="nil"/>
              <w:left w:val="nil"/>
              <w:bottom w:val="single" w:color="000000" w:sz="4" w:space="0"/>
              <w:right w:val="single" w:color="000000" w:sz="4" w:space="0"/>
            </w:tcBorders>
            <w:shd w:val="clear" w:color="auto" w:fill="auto"/>
            <w:vAlign w:val="center"/>
          </w:tcPr>
          <w:p w14:paraId="29D85A5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266F177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1993C3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41.81 </w:t>
            </w:r>
          </w:p>
        </w:tc>
      </w:tr>
      <w:tr w14:paraId="7255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C36EB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FF1A9A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0D98DCA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02B2AC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3688432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9B274E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43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8F3FF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5EE91B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29FC31F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D4036F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7EF27C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80F191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37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3489D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60814A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024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41.81 </w:t>
            </w:r>
          </w:p>
        </w:tc>
        <w:tc>
          <w:tcPr>
            <w:tcW w:w="4950" w:type="dxa"/>
            <w:tcBorders>
              <w:top w:val="nil"/>
              <w:left w:val="nil"/>
              <w:bottom w:val="single" w:color="000000" w:sz="4" w:space="0"/>
              <w:right w:val="single" w:color="000000" w:sz="4" w:space="0"/>
            </w:tcBorders>
            <w:shd w:val="clear" w:color="auto" w:fill="auto"/>
            <w:vAlign w:val="center"/>
          </w:tcPr>
          <w:p w14:paraId="24D01A1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0724BC0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452D5A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41.81</w:t>
            </w:r>
          </w:p>
        </w:tc>
      </w:tr>
    </w:tbl>
    <w:p w14:paraId="12D5232B">
      <w:pPr>
        <w:pStyle w:val="9"/>
        <w:keepNext w:val="0"/>
        <w:keepLines w:val="0"/>
        <w:pageBreakBefore w:val="0"/>
        <w:numPr>
          <w:ilvl w:val="0"/>
          <w:numId w:val="0"/>
        </w:numPr>
        <w:kinsoku/>
        <w:overflowPunct/>
        <w:topLinePunct w:val="0"/>
        <w:autoSpaceDE w:val="0"/>
        <w:autoSpaceDN/>
        <w:bidi w:val="0"/>
        <w:adjustRightInd/>
        <w:spacing w:beforeAutospacing="0" w:afterAutospacing="0" w:line="600" w:lineRule="exact"/>
        <w:ind w:firstLine="1400" w:firstLineChars="70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w:t>
      </w:r>
      <w:r>
        <w:rPr>
          <w:rFonts w:hint="eastAsia" w:cs="宋体"/>
          <w:sz w:val="20"/>
          <w:szCs w:val="20"/>
          <w:lang w:val="en-US" w:eastAsia="zh-CN"/>
        </w:rPr>
        <w:t xml:space="preserve">              </w:t>
      </w:r>
      <w:r>
        <w:rPr>
          <w:rFonts w:cs="宋体"/>
          <w:sz w:val="20"/>
          <w:szCs w:val="20"/>
        </w:rPr>
        <w:t xml:space="preserve">  2.本套报表金额单位转换时可能存在尾数误差。</w:t>
      </w:r>
    </w:p>
    <w:p w14:paraId="29136933">
      <w:pPr>
        <w:pStyle w:val="9"/>
        <w:keepNext w:val="0"/>
        <w:keepLines w:val="0"/>
        <w:pageBreakBefore w:val="0"/>
        <w:numPr>
          <w:ilvl w:val="0"/>
          <w:numId w:val="0"/>
        </w:numPr>
        <w:kinsoku/>
        <w:overflowPunct/>
        <w:topLinePunct w:val="0"/>
        <w:autoSpaceDE w:val="0"/>
        <w:autoSpaceDN/>
        <w:bidi w:val="0"/>
        <w:adjustRightInd/>
        <w:spacing w:beforeAutospacing="0" w:afterAutospacing="0" w:line="600" w:lineRule="exact"/>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5FD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73C3299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577A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B2D2780">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巫溪县红池坝景区管委会（本级）</w:t>
            </w:r>
          </w:p>
        </w:tc>
        <w:tc>
          <w:tcPr>
            <w:tcW w:w="2408" w:type="dxa"/>
            <w:tcBorders>
              <w:top w:val="nil"/>
              <w:left w:val="nil"/>
              <w:right w:val="nil"/>
            </w:tcBorders>
            <w:shd w:val="clear" w:color="auto" w:fill="auto"/>
            <w:vAlign w:val="bottom"/>
          </w:tcPr>
          <w:p w14:paraId="76D3320F">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764ADFF3">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FFC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B7E65">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048022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35250C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DBA950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58B878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471D1C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78F9ED">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7E350A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34C4EF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1400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F433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4128E9F">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68392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39049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1D1D46">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2E8E5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A9553A">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37696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4B4FA00">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2298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AD29A">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CD1CD6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2FBA95">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1C0F3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F6A877">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96A1E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1390F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B6D09F">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F912558">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0D4D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9B64C">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C57162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E050F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73483A">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4C3BB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A52750">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0B7FF6">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C88BE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01016F0">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3E56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6A44A0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05683C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E5E2FF7">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644D74D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E7B3D5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118F36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04C2670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170120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BB90A1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F444C2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B064F5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0330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0E424E6">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45403AC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3AEEDC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05BA62B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386634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41.81 </w:t>
            </w:r>
          </w:p>
        </w:tc>
        <w:tc>
          <w:tcPr>
            <w:tcW w:w="2403" w:type="dxa"/>
            <w:tcBorders>
              <w:top w:val="nil"/>
              <w:left w:val="nil"/>
              <w:bottom w:val="single" w:color="000000" w:sz="4" w:space="0"/>
              <w:right w:val="single" w:color="000000" w:sz="4" w:space="0"/>
            </w:tcBorders>
            <w:shd w:val="clear" w:color="auto" w:fill="auto"/>
            <w:vAlign w:val="center"/>
          </w:tcPr>
          <w:p w14:paraId="11BC42E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41.81 </w:t>
            </w:r>
          </w:p>
        </w:tc>
        <w:tc>
          <w:tcPr>
            <w:tcW w:w="2403" w:type="dxa"/>
            <w:tcBorders>
              <w:top w:val="nil"/>
              <w:left w:val="nil"/>
              <w:bottom w:val="single" w:color="000000" w:sz="4" w:space="0"/>
              <w:right w:val="single" w:color="000000" w:sz="4" w:space="0"/>
            </w:tcBorders>
            <w:shd w:val="clear" w:color="auto" w:fill="auto"/>
            <w:vAlign w:val="center"/>
          </w:tcPr>
          <w:p w14:paraId="28E5AA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B1F9B7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AD83B9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8D8FDB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60B08B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89F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0211C0">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0CF8D0E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70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90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C43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2D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22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CFC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7C5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A6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CE58E8">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64EEFF8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52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6DB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5FC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19F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F5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013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AF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7E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37F382">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78D4C6D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C40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561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1BC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0F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40B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14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F83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59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50FF41">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BB8EF5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59E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A5B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1FD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BE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24D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2D5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5D8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37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BF2A20">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2BD106C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E98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775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B13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656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F9D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DA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69F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A9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28B0C5">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B11166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D68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4AD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F3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83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7DC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9E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9FE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3F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616DB4">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CF862B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BF3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AAB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2F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396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457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869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627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78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2B30B8">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B24F70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230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BA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C3C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040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029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AC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F7D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24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B0F048">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6E14F1E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B8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F2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16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4BD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D2A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BFC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4B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79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C86430">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6EBB90B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A2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21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F2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10E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085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E3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A8D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28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7CF90F">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B6F319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7D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8C3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34E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D0C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1AB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3C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220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29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CBD3F5">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105D94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50E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472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49A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2D7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74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1BE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7B2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57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93BE82">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684CC8B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BD8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164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3FF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CC8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09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B88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BE1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CEC769A">
      <w:pPr>
        <w:keepNext w:val="0"/>
        <w:keepLines w:val="0"/>
        <w:pageBreakBefore w:val="0"/>
        <w:numPr>
          <w:ilvl w:val="0"/>
          <w:numId w:val="0"/>
        </w:numPr>
        <w:kinsoku/>
        <w:overflowPunct/>
        <w:topLinePunct w:val="0"/>
        <w:autoSpaceDN/>
        <w:bidi w:val="0"/>
        <w:adjustRightInd/>
        <w:spacing w:beforeAutospacing="0" w:afterAutospacing="0" w:line="600" w:lineRule="exact"/>
        <w:ind w:left="800" w:hanging="800" w:hangingChars="400"/>
        <w:rPr>
          <w:rFonts w:cs="宋体"/>
          <w:sz w:val="20"/>
          <w:szCs w:val="20"/>
        </w:rPr>
      </w:pPr>
      <w:r>
        <w:rPr>
          <w:rFonts w:cs="宋体"/>
          <w:sz w:val="20"/>
          <w:szCs w:val="20"/>
        </w:rPr>
        <w:t>备注：1.本表反映部门本年度取得的各项收入情况。</w:t>
      </w:r>
    </w:p>
    <w:p w14:paraId="595449C9">
      <w:pPr>
        <w:keepNext w:val="0"/>
        <w:keepLines w:val="0"/>
        <w:pageBreakBefore w:val="0"/>
        <w:numPr>
          <w:ilvl w:val="0"/>
          <w:numId w:val="0"/>
        </w:numPr>
        <w:kinsoku/>
        <w:overflowPunct/>
        <w:topLinePunct w:val="0"/>
        <w:autoSpaceDN/>
        <w:bidi w:val="0"/>
        <w:adjustRightInd/>
        <w:spacing w:beforeAutospacing="0" w:afterAutospacing="0" w:line="600" w:lineRule="exact"/>
        <w:ind w:left="798" w:leftChars="249" w:hanging="200" w:hangingChars="100"/>
        <w:rPr>
          <w:rFonts w:hint="default" w:ascii="Times New Roman" w:hAnsi="Times New Roman" w:eastAsia="宋体" w:cs="Times New Roman"/>
          <w:sz w:val="21"/>
          <w:szCs w:val="21"/>
        </w:rPr>
      </w:pPr>
      <w:r>
        <w:rPr>
          <w:rFonts w:cs="宋体"/>
          <w:sz w:val="20"/>
          <w:szCs w:val="20"/>
        </w:rPr>
        <w:t>2.本套报表金额单位转换时可能存在尾数误差。</w:t>
      </w:r>
      <w:r>
        <w:rPr>
          <w:rFonts w:cs="宋体"/>
          <w:sz w:val="20"/>
          <w:szCs w:val="20"/>
        </w:rPr>
        <w:br w:type="textWrapping"/>
      </w: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3711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2C25AF2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7FFA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EB7DE00">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巫溪县红池坝景区管委会（本级） </w:t>
            </w:r>
          </w:p>
        </w:tc>
        <w:tc>
          <w:tcPr>
            <w:tcW w:w="2741" w:type="dxa"/>
            <w:tcBorders>
              <w:top w:val="nil"/>
              <w:left w:val="nil"/>
              <w:bottom w:val="nil"/>
              <w:right w:val="nil"/>
            </w:tcBorders>
            <w:shd w:val="clear" w:color="auto" w:fill="auto"/>
            <w:vAlign w:val="bottom"/>
          </w:tcPr>
          <w:p w14:paraId="0868E93F">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135C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2DE9275">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661793D7">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3286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10F4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163926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3B2194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038E6B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646744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BD791C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303F04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AF20E9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6AAA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5C0C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9D4F37A">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8DBEC0">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3B345F">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F7BB4C">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5A64D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F713D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32C0DF5">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367F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3792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ED58790">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CA93E8">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8E9508">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851E5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E93EDF">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F294D7">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FFD739C">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6EC4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B497F">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F8E946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7ECDB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AD0DA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1DF575">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523C15">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443A3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B5DD730">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7B59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4DB8CD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C2663C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30BD9E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264B68D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99A112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D6B73C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397922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470097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423C44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BE7B9C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03A1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5577A3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FC73EE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971576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109EC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EA7309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41.81 </w:t>
            </w:r>
          </w:p>
        </w:tc>
        <w:tc>
          <w:tcPr>
            <w:tcW w:w="2737" w:type="dxa"/>
            <w:tcBorders>
              <w:top w:val="nil"/>
              <w:left w:val="nil"/>
              <w:bottom w:val="single" w:color="000000" w:sz="4" w:space="0"/>
              <w:right w:val="single" w:color="000000" w:sz="4" w:space="0"/>
            </w:tcBorders>
            <w:shd w:val="clear" w:color="auto" w:fill="auto"/>
            <w:vAlign w:val="center"/>
          </w:tcPr>
          <w:p w14:paraId="0F1BCB4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41.81 </w:t>
            </w:r>
          </w:p>
        </w:tc>
        <w:tc>
          <w:tcPr>
            <w:tcW w:w="2737" w:type="dxa"/>
            <w:tcBorders>
              <w:top w:val="nil"/>
              <w:left w:val="nil"/>
              <w:bottom w:val="single" w:color="000000" w:sz="4" w:space="0"/>
              <w:right w:val="single" w:color="000000" w:sz="4" w:space="0"/>
            </w:tcBorders>
            <w:shd w:val="clear" w:color="auto" w:fill="auto"/>
            <w:vAlign w:val="center"/>
          </w:tcPr>
          <w:p w14:paraId="18F76A5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4C2BCD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A6BB5A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F9040C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1F6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61E036">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53A2252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3EB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ACE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EAB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9D9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89A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FEC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EA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DAB5F3">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7F433F0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347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DA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557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2AC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AE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7A6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3E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B92ACD1">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6D3EABE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F5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ABB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3EC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9B4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C5D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A01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2B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E36776">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3FC566C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63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CD7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ABE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DBD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07E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7E1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3D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EFE512">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64C3FD5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A6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9A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C22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641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812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2C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1A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DEE2C9">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1C57170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875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CAF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1A5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19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A1D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015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49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348777">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BBA4FC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445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F66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127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16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E1D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668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D4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8955F2">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FB1A14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EB8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49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FB6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6EB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C4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801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48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2C3FBE">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0046F1F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3E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42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224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FC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20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D5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DA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67EC35">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7E15758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8DA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AA4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F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5D7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096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3E5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1E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541627">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1185EB9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993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3D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B97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927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E7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C5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22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015BC3">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0C8728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551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307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2B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D2E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1C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EF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00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116DA2">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6B2F9C6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29E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E1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53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88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35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EB0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AD55EE0">
      <w:pPr>
        <w:keepNext w:val="0"/>
        <w:keepLines w:val="0"/>
        <w:pageBreakBefore w:val="0"/>
        <w:kinsoku/>
        <w:overflowPunct/>
        <w:topLinePunct w:val="0"/>
        <w:autoSpaceDN/>
        <w:bidi w:val="0"/>
        <w:adjustRightInd/>
        <w:spacing w:beforeAutospacing="0" w:afterAutospacing="0" w:line="600" w:lineRule="exact"/>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p>
    <w:p w14:paraId="386D9321">
      <w:pPr>
        <w:keepNext w:val="0"/>
        <w:keepLines w:val="0"/>
        <w:pageBreakBefore w:val="0"/>
        <w:numPr>
          <w:ilvl w:val="0"/>
          <w:numId w:val="0"/>
        </w:numPr>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5D3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FDFEC4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51DB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FD2DA9E">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巫溪县红池坝景区管委会（本级）</w:t>
            </w:r>
          </w:p>
        </w:tc>
        <w:tc>
          <w:tcPr>
            <w:tcW w:w="2874" w:type="dxa"/>
            <w:tcBorders>
              <w:top w:val="nil"/>
              <w:left w:val="nil"/>
              <w:bottom w:val="nil"/>
              <w:right w:val="nil"/>
            </w:tcBorders>
            <w:shd w:val="clear" w:color="auto" w:fill="auto"/>
            <w:vAlign w:val="bottom"/>
          </w:tcPr>
          <w:p w14:paraId="7038A06E">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2A7C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C55DB83">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25CC16C7">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3FB0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A313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D2F68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4D7E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4BBD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A045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AC445">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FE82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1C14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9248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8D73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FF73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005D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378A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6D368">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1CF5">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014B7">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16C8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7C805">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F1BE9">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1DFF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39C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305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1F96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8D8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B30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D79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905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D00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19C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791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2A4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30D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0558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6F5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A0D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0A7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6E1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E2C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E76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E8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EE3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2E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97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C30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56A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B30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C6B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BED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780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9D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8DC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E13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C5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A6F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B73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641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A74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A5A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676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2D1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D7D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AF4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54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8E4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AF7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CEB49C">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8D1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CBA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9B5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3F9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2E5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59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B3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A5E2">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198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1B23E2">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D1D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718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A82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41A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87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1EF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77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D64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DCA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085C5E">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FE1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863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A8B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6A3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AEA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09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11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6861">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4F9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C60D29">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755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A69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1C4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5E3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034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DA3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FC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8B0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C65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79F13">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673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EB8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C20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4A7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6C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DEE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AB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A323">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1A6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2326F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6B6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A0E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C40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D79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5E0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D88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3E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E03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138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F8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836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BDF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782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B0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62C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82B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F7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B96C">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954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CF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D43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D1E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A9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8AA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72B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E3B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07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C28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A64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E4A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589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218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75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7E3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61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586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06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CFF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014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CF5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5F1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51B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B87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91D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F1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224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3A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196E">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376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B7B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C36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F4C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D8D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540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746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5E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77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E2A3">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E34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F6A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6B0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E76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322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4A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BA5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FE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C2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4610">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A4C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540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47F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4F2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FF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F2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859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A2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72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510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433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1B4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8D1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F3A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1F2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0C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58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D08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47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4A21">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737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51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0CA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DC3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870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AA2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B99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DDD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77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03B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B3A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2D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DD1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FAF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956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BEA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889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D3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75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F2E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AA6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433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582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BF3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C1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DFE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6F5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A9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8C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55E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ABC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343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DCD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345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8D0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F0B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4D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1BB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09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09E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13D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B1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41C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1D4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F69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AF8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76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246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D5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A82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614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0FD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18F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438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CFE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189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D32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723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20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8FB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4BA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F5F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E9F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C2E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227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BFE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F63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78C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CD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9BCD">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A17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5A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2D2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64E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E45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64B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00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B3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BD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7AC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32F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299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B07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FF3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0DD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EFE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65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254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16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752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120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0B6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2CD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3C1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27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D96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2E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FEF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49E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2BA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ABD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3EE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D50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9DB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E4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B69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859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065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CB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ADB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126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F3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450D">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773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441F4B">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D6B9A2">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FA0C7">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B949B">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r>
      <w:tr w14:paraId="4F13C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97A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A76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445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66B0">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D02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DD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2E4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C88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053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r>
      <w:tr w14:paraId="0BF9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BB2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7C5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A2A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27D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B8C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E1B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D98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FCD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025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r>
      <w:tr w14:paraId="6185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20F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9B5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39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424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B10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337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5D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97E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22C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42695A0E">
      <w:pPr>
        <w:keepNext w:val="0"/>
        <w:keepLines w:val="0"/>
        <w:pageBreakBefore w:val="0"/>
        <w:kinsoku/>
        <w:overflowPunct/>
        <w:topLinePunct w:val="0"/>
        <w:autoSpaceDN/>
        <w:bidi w:val="0"/>
        <w:adjustRightInd/>
        <w:spacing w:beforeAutospacing="0" w:afterAutospacing="0" w:line="60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p>
    <w:p w14:paraId="50B5856D">
      <w:pPr>
        <w:keepNext w:val="0"/>
        <w:keepLines w:val="0"/>
        <w:pageBreakBefore w:val="0"/>
        <w:kinsoku/>
        <w:overflowPunct/>
        <w:topLinePunct w:val="0"/>
        <w:autoSpaceDN/>
        <w:bidi w:val="0"/>
        <w:adjustRightInd/>
        <w:spacing w:beforeAutospacing="0" w:afterAutospacing="0" w:line="600" w:lineRule="exact"/>
        <w:rPr>
          <w:rFonts w:cs="宋体"/>
          <w:sz w:val="20"/>
          <w:szCs w:val="20"/>
        </w:rPr>
      </w:pPr>
    </w:p>
    <w:p w14:paraId="15B28117">
      <w:pPr>
        <w:keepNext w:val="0"/>
        <w:keepLines w:val="0"/>
        <w:pageBreakBefore w:val="0"/>
        <w:kinsoku/>
        <w:overflowPunct/>
        <w:topLinePunct w:val="0"/>
        <w:autoSpaceDN/>
        <w:bidi w:val="0"/>
        <w:adjustRightInd/>
        <w:spacing w:beforeAutospacing="0" w:afterAutospacing="0" w:line="600" w:lineRule="exact"/>
        <w:rPr>
          <w:rFonts w:cs="宋体"/>
          <w:sz w:val="20"/>
          <w:szCs w:val="20"/>
        </w:rPr>
      </w:pPr>
    </w:p>
    <w:p w14:paraId="2F9B1776">
      <w:pPr>
        <w:keepNext w:val="0"/>
        <w:keepLines w:val="0"/>
        <w:pageBreakBefore w:val="0"/>
        <w:kinsoku/>
        <w:overflowPunct/>
        <w:topLinePunct w:val="0"/>
        <w:autoSpaceDN/>
        <w:bidi w:val="0"/>
        <w:adjustRightInd/>
        <w:spacing w:beforeAutospacing="0" w:afterAutospacing="0" w:line="600" w:lineRule="exact"/>
        <w:rPr>
          <w:rFonts w:cs="宋体"/>
          <w:sz w:val="20"/>
          <w:szCs w:val="20"/>
        </w:rPr>
      </w:pPr>
    </w:p>
    <w:p w14:paraId="44389F1B">
      <w:pPr>
        <w:keepNext w:val="0"/>
        <w:keepLines w:val="0"/>
        <w:pageBreakBefore w:val="0"/>
        <w:kinsoku/>
        <w:overflowPunct/>
        <w:topLinePunct w:val="0"/>
        <w:autoSpaceDN/>
        <w:bidi w:val="0"/>
        <w:adjustRightInd/>
        <w:spacing w:beforeAutospacing="0" w:afterAutospacing="0" w:line="600" w:lineRule="exact"/>
        <w:rPr>
          <w:rFonts w:cs="宋体"/>
          <w:sz w:val="20"/>
          <w:szCs w:val="20"/>
        </w:rPr>
      </w:pPr>
    </w:p>
    <w:p w14:paraId="0373B9AE">
      <w:pPr>
        <w:keepNext w:val="0"/>
        <w:keepLines w:val="0"/>
        <w:pageBreakBefore w:val="0"/>
        <w:kinsoku/>
        <w:overflowPunct/>
        <w:topLinePunct w:val="0"/>
        <w:autoSpaceDN/>
        <w:bidi w:val="0"/>
        <w:adjustRightInd/>
        <w:spacing w:beforeAutospacing="0" w:afterAutospacing="0" w:line="600" w:lineRule="exact"/>
        <w:rPr>
          <w:rFonts w:cs="宋体"/>
          <w:sz w:val="20"/>
          <w:szCs w:val="20"/>
        </w:rPr>
      </w:pPr>
    </w:p>
    <w:p w14:paraId="4FF556F8">
      <w:pPr>
        <w:keepNext w:val="0"/>
        <w:keepLines w:val="0"/>
        <w:pageBreakBefore w:val="0"/>
        <w:kinsoku/>
        <w:overflowPunct/>
        <w:topLinePunct w:val="0"/>
        <w:autoSpaceDN/>
        <w:bidi w:val="0"/>
        <w:adjustRightInd/>
        <w:spacing w:beforeAutospacing="0" w:afterAutospacing="0" w:line="600" w:lineRule="exact"/>
        <w:rPr>
          <w:rFonts w:cs="宋体"/>
          <w:sz w:val="20"/>
          <w:szCs w:val="20"/>
        </w:rPr>
      </w:pPr>
    </w:p>
    <w:p w14:paraId="75818D01">
      <w:pPr>
        <w:keepNext w:val="0"/>
        <w:keepLines w:val="0"/>
        <w:pageBreakBefore w:val="0"/>
        <w:kinsoku/>
        <w:overflowPunct/>
        <w:topLinePunct w:val="0"/>
        <w:autoSpaceDN/>
        <w:bidi w:val="0"/>
        <w:adjustRightInd/>
        <w:spacing w:beforeAutospacing="0" w:afterAutospacing="0" w:line="600" w:lineRule="exact"/>
        <w:rPr>
          <w:rFonts w:cs="宋体"/>
          <w:sz w:val="20"/>
          <w:szCs w:val="20"/>
        </w:rPr>
      </w:pPr>
    </w:p>
    <w:p w14:paraId="303E5546">
      <w:pPr>
        <w:keepNext w:val="0"/>
        <w:keepLines w:val="0"/>
        <w:pageBreakBefore w:val="0"/>
        <w:kinsoku/>
        <w:overflowPunct/>
        <w:topLinePunct w:val="0"/>
        <w:autoSpaceDN/>
        <w:bidi w:val="0"/>
        <w:adjustRightInd/>
        <w:spacing w:beforeAutospacing="0" w:afterAutospacing="0" w:line="600" w:lineRule="exact"/>
        <w:rPr>
          <w:rFonts w:cs="宋体"/>
          <w:sz w:val="20"/>
          <w:szCs w:val="20"/>
        </w:rPr>
      </w:pPr>
    </w:p>
    <w:p w14:paraId="6CC1A870">
      <w:pPr>
        <w:keepNext w:val="0"/>
        <w:keepLines w:val="0"/>
        <w:pageBreakBefore w:val="0"/>
        <w:kinsoku/>
        <w:overflowPunct/>
        <w:topLinePunct w:val="0"/>
        <w:autoSpaceDN/>
        <w:bidi w:val="0"/>
        <w:adjustRightInd/>
        <w:spacing w:beforeAutospacing="0" w:afterAutospacing="0" w:line="600" w:lineRule="exact"/>
        <w:rPr>
          <w:rFonts w:cs="宋体"/>
          <w:sz w:val="20"/>
          <w:szCs w:val="20"/>
        </w:rPr>
      </w:pPr>
    </w:p>
    <w:p w14:paraId="1377B2D2">
      <w:pPr>
        <w:keepNext w:val="0"/>
        <w:keepLines w:val="0"/>
        <w:pageBreakBefore w:val="0"/>
        <w:kinsoku/>
        <w:overflowPunct/>
        <w:topLinePunct w:val="0"/>
        <w:autoSpaceDN/>
        <w:bidi w:val="0"/>
        <w:adjustRightInd/>
        <w:spacing w:beforeAutospacing="0" w:afterAutospacing="0" w:line="600" w:lineRule="exact"/>
        <w:rPr>
          <w:rFonts w:hint="default" w:cs="宋体"/>
          <w:sz w:val="20"/>
          <w:szCs w:val="20"/>
        </w:rPr>
      </w:pP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A7D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353230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75A1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78EEAB3">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巫溪县红池坝景区管委会（本级）</w:t>
            </w:r>
          </w:p>
        </w:tc>
        <w:tc>
          <w:tcPr>
            <w:tcW w:w="1156" w:type="dxa"/>
            <w:tcBorders>
              <w:top w:val="nil"/>
              <w:left w:val="nil"/>
              <w:bottom w:val="nil"/>
              <w:right w:val="nil"/>
            </w:tcBorders>
            <w:shd w:val="clear" w:color="auto" w:fill="auto"/>
            <w:vAlign w:val="bottom"/>
          </w:tcPr>
          <w:p w14:paraId="46956079">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130E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95FA54F">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51F86AB4">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7462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D6B9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2530EB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5E0C75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EC9072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2379B5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1D9DF8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1644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5DF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C1FF53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605E08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E02A55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FEAF40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85B3E9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B74E20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C887C9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DBCE75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0D06D7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D61837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6F2EF2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370BB4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CEC86D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1A6B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5498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0B0B8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B6C497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778D2F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DBEE77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ED0C85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CF0418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9D0342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D72E06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9BF621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C0E3E6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612271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50E736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C6134E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0EF13A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7CD0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80E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04CD00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82A863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773349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8984FD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F31C8C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12A743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20BB04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D9BD57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BA18FE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629973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B8E7FE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F3D863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BE25BB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B1EFBB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07CA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4E3681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357A92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5AE159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7F72D4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590437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FF5D49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67720D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B9E095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4C3EDE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109A30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5AE6D9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0110B0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93A772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2094D2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CF9598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270005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6FC045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0181E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57A4FC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06DF21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E4E336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B15B4B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C8A6A8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1AD55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3B48B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D85D2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41.81 </w:t>
            </w:r>
          </w:p>
        </w:tc>
        <w:tc>
          <w:tcPr>
            <w:tcW w:w="1666" w:type="dxa"/>
            <w:tcBorders>
              <w:top w:val="nil"/>
              <w:left w:val="nil"/>
              <w:bottom w:val="single" w:color="000000" w:sz="4" w:space="0"/>
              <w:right w:val="single" w:color="000000" w:sz="4" w:space="0"/>
            </w:tcBorders>
            <w:shd w:val="clear" w:color="auto" w:fill="auto"/>
            <w:vAlign w:val="center"/>
          </w:tcPr>
          <w:p w14:paraId="3878AE3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41.81 </w:t>
            </w:r>
          </w:p>
        </w:tc>
        <w:tc>
          <w:tcPr>
            <w:tcW w:w="1684" w:type="dxa"/>
            <w:tcBorders>
              <w:top w:val="nil"/>
              <w:left w:val="nil"/>
              <w:bottom w:val="single" w:color="000000" w:sz="4" w:space="0"/>
              <w:right w:val="single" w:color="000000" w:sz="4" w:space="0"/>
            </w:tcBorders>
            <w:shd w:val="clear" w:color="auto" w:fill="auto"/>
            <w:vAlign w:val="center"/>
          </w:tcPr>
          <w:p w14:paraId="40A5D4B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F67C9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41.81 </w:t>
            </w:r>
          </w:p>
        </w:tc>
        <w:tc>
          <w:tcPr>
            <w:tcW w:w="1700" w:type="dxa"/>
            <w:tcBorders>
              <w:top w:val="nil"/>
              <w:left w:val="nil"/>
              <w:bottom w:val="single" w:color="000000" w:sz="4" w:space="0"/>
              <w:right w:val="single" w:color="000000" w:sz="4" w:space="0"/>
            </w:tcBorders>
            <w:shd w:val="clear" w:color="auto" w:fill="auto"/>
            <w:vAlign w:val="center"/>
          </w:tcPr>
          <w:p w14:paraId="718F8DD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41.81 </w:t>
            </w:r>
          </w:p>
        </w:tc>
        <w:tc>
          <w:tcPr>
            <w:tcW w:w="1733" w:type="dxa"/>
            <w:tcBorders>
              <w:top w:val="nil"/>
              <w:left w:val="nil"/>
              <w:bottom w:val="single" w:color="000000" w:sz="4" w:space="0"/>
              <w:right w:val="single" w:color="000000" w:sz="4" w:space="0"/>
            </w:tcBorders>
            <w:shd w:val="clear" w:color="auto" w:fill="auto"/>
            <w:vAlign w:val="center"/>
          </w:tcPr>
          <w:p w14:paraId="08972E6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BB5EF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DF4AC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03AED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D45B9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E94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36A84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B9B242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1F527E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969B8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6190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E999A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 </w:t>
            </w:r>
          </w:p>
        </w:tc>
        <w:tc>
          <w:tcPr>
            <w:tcW w:w="1666" w:type="dxa"/>
            <w:tcBorders>
              <w:top w:val="nil"/>
              <w:left w:val="nil"/>
              <w:bottom w:val="single" w:color="000000" w:sz="4" w:space="0"/>
              <w:right w:val="single" w:color="000000" w:sz="4" w:space="0"/>
            </w:tcBorders>
            <w:shd w:val="clear" w:color="auto" w:fill="auto"/>
            <w:vAlign w:val="center"/>
          </w:tcPr>
          <w:p w14:paraId="705DB53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 </w:t>
            </w:r>
          </w:p>
        </w:tc>
        <w:tc>
          <w:tcPr>
            <w:tcW w:w="1684" w:type="dxa"/>
            <w:tcBorders>
              <w:top w:val="nil"/>
              <w:left w:val="nil"/>
              <w:bottom w:val="single" w:color="000000" w:sz="4" w:space="0"/>
              <w:right w:val="single" w:color="000000" w:sz="4" w:space="0"/>
            </w:tcBorders>
            <w:shd w:val="clear" w:color="auto" w:fill="auto"/>
            <w:vAlign w:val="center"/>
          </w:tcPr>
          <w:p w14:paraId="5F12A68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79A53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 </w:t>
            </w:r>
          </w:p>
        </w:tc>
        <w:tc>
          <w:tcPr>
            <w:tcW w:w="1700" w:type="dxa"/>
            <w:tcBorders>
              <w:top w:val="nil"/>
              <w:left w:val="nil"/>
              <w:bottom w:val="single" w:color="000000" w:sz="4" w:space="0"/>
              <w:right w:val="single" w:color="000000" w:sz="4" w:space="0"/>
            </w:tcBorders>
            <w:shd w:val="clear" w:color="auto" w:fill="auto"/>
            <w:vAlign w:val="center"/>
          </w:tcPr>
          <w:p w14:paraId="5E5CDE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 </w:t>
            </w:r>
          </w:p>
        </w:tc>
        <w:tc>
          <w:tcPr>
            <w:tcW w:w="1733" w:type="dxa"/>
            <w:tcBorders>
              <w:top w:val="nil"/>
              <w:left w:val="nil"/>
              <w:bottom w:val="single" w:color="000000" w:sz="4" w:space="0"/>
              <w:right w:val="single" w:color="000000" w:sz="4" w:space="0"/>
            </w:tcBorders>
            <w:shd w:val="clear" w:color="auto" w:fill="auto"/>
            <w:vAlign w:val="center"/>
          </w:tcPr>
          <w:p w14:paraId="15B0AB7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57015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1578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2286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FB3B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48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ABF19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5FACA86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4A3CC5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9CDFC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480AA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7CD69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 </w:t>
            </w:r>
          </w:p>
        </w:tc>
        <w:tc>
          <w:tcPr>
            <w:tcW w:w="1666" w:type="dxa"/>
            <w:tcBorders>
              <w:top w:val="nil"/>
              <w:left w:val="nil"/>
              <w:bottom w:val="single" w:color="000000" w:sz="4" w:space="0"/>
              <w:right w:val="single" w:color="000000" w:sz="4" w:space="0"/>
            </w:tcBorders>
            <w:shd w:val="clear" w:color="auto" w:fill="auto"/>
            <w:vAlign w:val="center"/>
          </w:tcPr>
          <w:p w14:paraId="7B874CC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 </w:t>
            </w:r>
          </w:p>
        </w:tc>
        <w:tc>
          <w:tcPr>
            <w:tcW w:w="1684" w:type="dxa"/>
            <w:tcBorders>
              <w:top w:val="nil"/>
              <w:left w:val="nil"/>
              <w:bottom w:val="single" w:color="000000" w:sz="4" w:space="0"/>
              <w:right w:val="single" w:color="000000" w:sz="4" w:space="0"/>
            </w:tcBorders>
            <w:shd w:val="clear" w:color="auto" w:fill="auto"/>
            <w:vAlign w:val="center"/>
          </w:tcPr>
          <w:p w14:paraId="716590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17959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 </w:t>
            </w:r>
          </w:p>
        </w:tc>
        <w:tc>
          <w:tcPr>
            <w:tcW w:w="1700" w:type="dxa"/>
            <w:tcBorders>
              <w:top w:val="nil"/>
              <w:left w:val="nil"/>
              <w:bottom w:val="single" w:color="000000" w:sz="4" w:space="0"/>
              <w:right w:val="single" w:color="000000" w:sz="4" w:space="0"/>
            </w:tcBorders>
            <w:shd w:val="clear" w:color="auto" w:fill="auto"/>
            <w:vAlign w:val="center"/>
          </w:tcPr>
          <w:p w14:paraId="750D797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 </w:t>
            </w:r>
          </w:p>
        </w:tc>
        <w:tc>
          <w:tcPr>
            <w:tcW w:w="1733" w:type="dxa"/>
            <w:tcBorders>
              <w:top w:val="nil"/>
              <w:left w:val="nil"/>
              <w:bottom w:val="single" w:color="000000" w:sz="4" w:space="0"/>
              <w:right w:val="single" w:color="000000" w:sz="4" w:space="0"/>
            </w:tcBorders>
            <w:shd w:val="clear" w:color="auto" w:fill="auto"/>
            <w:vAlign w:val="center"/>
          </w:tcPr>
          <w:p w14:paraId="2E86C08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239617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86447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98109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930CE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13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F57FA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1B077B2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35577C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0D4D9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FDBA1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4055B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29.91 </w:t>
            </w:r>
          </w:p>
        </w:tc>
        <w:tc>
          <w:tcPr>
            <w:tcW w:w="1666" w:type="dxa"/>
            <w:tcBorders>
              <w:top w:val="nil"/>
              <w:left w:val="nil"/>
              <w:bottom w:val="single" w:color="000000" w:sz="4" w:space="0"/>
              <w:right w:val="single" w:color="000000" w:sz="4" w:space="0"/>
            </w:tcBorders>
            <w:shd w:val="clear" w:color="auto" w:fill="auto"/>
            <w:vAlign w:val="center"/>
          </w:tcPr>
          <w:p w14:paraId="65D359F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29.91 </w:t>
            </w:r>
          </w:p>
        </w:tc>
        <w:tc>
          <w:tcPr>
            <w:tcW w:w="1684" w:type="dxa"/>
            <w:tcBorders>
              <w:top w:val="nil"/>
              <w:left w:val="nil"/>
              <w:bottom w:val="single" w:color="000000" w:sz="4" w:space="0"/>
              <w:right w:val="single" w:color="000000" w:sz="4" w:space="0"/>
            </w:tcBorders>
            <w:shd w:val="clear" w:color="auto" w:fill="auto"/>
            <w:vAlign w:val="center"/>
          </w:tcPr>
          <w:p w14:paraId="7714DFC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2F7C6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29.91 </w:t>
            </w:r>
          </w:p>
        </w:tc>
        <w:tc>
          <w:tcPr>
            <w:tcW w:w="1700" w:type="dxa"/>
            <w:tcBorders>
              <w:top w:val="nil"/>
              <w:left w:val="nil"/>
              <w:bottom w:val="single" w:color="000000" w:sz="4" w:space="0"/>
              <w:right w:val="single" w:color="000000" w:sz="4" w:space="0"/>
            </w:tcBorders>
            <w:shd w:val="clear" w:color="auto" w:fill="auto"/>
            <w:vAlign w:val="center"/>
          </w:tcPr>
          <w:p w14:paraId="4DE3DB4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29.91 </w:t>
            </w:r>
          </w:p>
        </w:tc>
        <w:tc>
          <w:tcPr>
            <w:tcW w:w="1733" w:type="dxa"/>
            <w:tcBorders>
              <w:top w:val="nil"/>
              <w:left w:val="nil"/>
              <w:bottom w:val="single" w:color="000000" w:sz="4" w:space="0"/>
              <w:right w:val="single" w:color="000000" w:sz="4" w:space="0"/>
            </w:tcBorders>
            <w:shd w:val="clear" w:color="auto" w:fill="auto"/>
            <w:vAlign w:val="center"/>
          </w:tcPr>
          <w:p w14:paraId="507B03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ABE91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8E783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AE2FD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6CC1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E9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79064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8EFE9B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F2DD84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547EF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DF245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AAB99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 </w:t>
            </w:r>
          </w:p>
        </w:tc>
        <w:tc>
          <w:tcPr>
            <w:tcW w:w="1666" w:type="dxa"/>
            <w:tcBorders>
              <w:top w:val="nil"/>
              <w:left w:val="nil"/>
              <w:bottom w:val="single" w:color="000000" w:sz="4" w:space="0"/>
              <w:right w:val="single" w:color="000000" w:sz="4" w:space="0"/>
            </w:tcBorders>
            <w:shd w:val="clear" w:color="auto" w:fill="auto"/>
            <w:vAlign w:val="center"/>
          </w:tcPr>
          <w:p w14:paraId="4758A3A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 </w:t>
            </w:r>
          </w:p>
        </w:tc>
        <w:tc>
          <w:tcPr>
            <w:tcW w:w="1684" w:type="dxa"/>
            <w:tcBorders>
              <w:top w:val="nil"/>
              <w:left w:val="nil"/>
              <w:bottom w:val="single" w:color="000000" w:sz="4" w:space="0"/>
              <w:right w:val="single" w:color="000000" w:sz="4" w:space="0"/>
            </w:tcBorders>
            <w:shd w:val="clear" w:color="auto" w:fill="auto"/>
            <w:vAlign w:val="center"/>
          </w:tcPr>
          <w:p w14:paraId="585DC0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971B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 </w:t>
            </w:r>
          </w:p>
        </w:tc>
        <w:tc>
          <w:tcPr>
            <w:tcW w:w="1700" w:type="dxa"/>
            <w:tcBorders>
              <w:top w:val="nil"/>
              <w:left w:val="nil"/>
              <w:bottom w:val="single" w:color="000000" w:sz="4" w:space="0"/>
              <w:right w:val="single" w:color="000000" w:sz="4" w:space="0"/>
            </w:tcBorders>
            <w:shd w:val="clear" w:color="auto" w:fill="auto"/>
            <w:vAlign w:val="center"/>
          </w:tcPr>
          <w:p w14:paraId="329ECA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 </w:t>
            </w:r>
          </w:p>
        </w:tc>
        <w:tc>
          <w:tcPr>
            <w:tcW w:w="1733" w:type="dxa"/>
            <w:tcBorders>
              <w:top w:val="nil"/>
              <w:left w:val="nil"/>
              <w:bottom w:val="single" w:color="000000" w:sz="4" w:space="0"/>
              <w:right w:val="single" w:color="000000" w:sz="4" w:space="0"/>
            </w:tcBorders>
            <w:shd w:val="clear" w:color="auto" w:fill="auto"/>
            <w:vAlign w:val="center"/>
          </w:tcPr>
          <w:p w14:paraId="7EE2172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790F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2025C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64518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C77C6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7F9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2451F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6BC7C0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05958A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FA9A8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25AEF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69DEC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 </w:t>
            </w:r>
          </w:p>
        </w:tc>
        <w:tc>
          <w:tcPr>
            <w:tcW w:w="1666" w:type="dxa"/>
            <w:tcBorders>
              <w:top w:val="nil"/>
              <w:left w:val="nil"/>
              <w:bottom w:val="single" w:color="000000" w:sz="4" w:space="0"/>
              <w:right w:val="single" w:color="000000" w:sz="4" w:space="0"/>
            </w:tcBorders>
            <w:shd w:val="clear" w:color="auto" w:fill="auto"/>
            <w:vAlign w:val="center"/>
          </w:tcPr>
          <w:p w14:paraId="34989E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 </w:t>
            </w:r>
          </w:p>
        </w:tc>
        <w:tc>
          <w:tcPr>
            <w:tcW w:w="1684" w:type="dxa"/>
            <w:tcBorders>
              <w:top w:val="nil"/>
              <w:left w:val="nil"/>
              <w:bottom w:val="single" w:color="000000" w:sz="4" w:space="0"/>
              <w:right w:val="single" w:color="000000" w:sz="4" w:space="0"/>
            </w:tcBorders>
            <w:shd w:val="clear" w:color="auto" w:fill="auto"/>
            <w:vAlign w:val="center"/>
          </w:tcPr>
          <w:p w14:paraId="73B6E3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7AF7B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 </w:t>
            </w:r>
          </w:p>
        </w:tc>
        <w:tc>
          <w:tcPr>
            <w:tcW w:w="1700" w:type="dxa"/>
            <w:tcBorders>
              <w:top w:val="nil"/>
              <w:left w:val="nil"/>
              <w:bottom w:val="single" w:color="000000" w:sz="4" w:space="0"/>
              <w:right w:val="single" w:color="000000" w:sz="4" w:space="0"/>
            </w:tcBorders>
            <w:shd w:val="clear" w:color="auto" w:fill="auto"/>
            <w:vAlign w:val="center"/>
          </w:tcPr>
          <w:p w14:paraId="18D3C88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 </w:t>
            </w:r>
          </w:p>
        </w:tc>
        <w:tc>
          <w:tcPr>
            <w:tcW w:w="1733" w:type="dxa"/>
            <w:tcBorders>
              <w:top w:val="nil"/>
              <w:left w:val="nil"/>
              <w:bottom w:val="single" w:color="000000" w:sz="4" w:space="0"/>
              <w:right w:val="single" w:color="000000" w:sz="4" w:space="0"/>
            </w:tcBorders>
            <w:shd w:val="clear" w:color="auto" w:fill="auto"/>
            <w:vAlign w:val="center"/>
          </w:tcPr>
          <w:p w14:paraId="03915F7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90BE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15C56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183D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A74DB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A9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F5AB6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B0FA68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5966F5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CD54C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B416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CD9EE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4.25 </w:t>
            </w:r>
          </w:p>
        </w:tc>
        <w:tc>
          <w:tcPr>
            <w:tcW w:w="1666" w:type="dxa"/>
            <w:tcBorders>
              <w:top w:val="nil"/>
              <w:left w:val="nil"/>
              <w:bottom w:val="single" w:color="000000" w:sz="4" w:space="0"/>
              <w:right w:val="single" w:color="000000" w:sz="4" w:space="0"/>
            </w:tcBorders>
            <w:shd w:val="clear" w:color="auto" w:fill="auto"/>
            <w:vAlign w:val="center"/>
          </w:tcPr>
          <w:p w14:paraId="784A4F8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4.25 </w:t>
            </w:r>
          </w:p>
        </w:tc>
        <w:tc>
          <w:tcPr>
            <w:tcW w:w="1684" w:type="dxa"/>
            <w:tcBorders>
              <w:top w:val="nil"/>
              <w:left w:val="nil"/>
              <w:bottom w:val="single" w:color="000000" w:sz="4" w:space="0"/>
              <w:right w:val="single" w:color="000000" w:sz="4" w:space="0"/>
            </w:tcBorders>
            <w:shd w:val="clear" w:color="auto" w:fill="auto"/>
            <w:vAlign w:val="center"/>
          </w:tcPr>
          <w:p w14:paraId="73F6EF6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E3A5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4.25 </w:t>
            </w:r>
          </w:p>
        </w:tc>
        <w:tc>
          <w:tcPr>
            <w:tcW w:w="1700" w:type="dxa"/>
            <w:tcBorders>
              <w:top w:val="nil"/>
              <w:left w:val="nil"/>
              <w:bottom w:val="single" w:color="000000" w:sz="4" w:space="0"/>
              <w:right w:val="single" w:color="000000" w:sz="4" w:space="0"/>
            </w:tcBorders>
            <w:shd w:val="clear" w:color="auto" w:fill="auto"/>
            <w:vAlign w:val="center"/>
          </w:tcPr>
          <w:p w14:paraId="0AD0C95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4.25 </w:t>
            </w:r>
          </w:p>
        </w:tc>
        <w:tc>
          <w:tcPr>
            <w:tcW w:w="1733" w:type="dxa"/>
            <w:tcBorders>
              <w:top w:val="nil"/>
              <w:left w:val="nil"/>
              <w:bottom w:val="single" w:color="000000" w:sz="4" w:space="0"/>
              <w:right w:val="single" w:color="000000" w:sz="4" w:space="0"/>
            </w:tcBorders>
            <w:shd w:val="clear" w:color="auto" w:fill="auto"/>
            <w:vAlign w:val="center"/>
          </w:tcPr>
          <w:p w14:paraId="2E9E07B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09711A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B0325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CA5FE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A4DCB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73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2229F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2A2B49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CC4188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8100A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C5287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CBF93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1666" w:type="dxa"/>
            <w:tcBorders>
              <w:top w:val="nil"/>
              <w:left w:val="nil"/>
              <w:bottom w:val="single" w:color="000000" w:sz="4" w:space="0"/>
              <w:right w:val="single" w:color="000000" w:sz="4" w:space="0"/>
            </w:tcBorders>
            <w:shd w:val="clear" w:color="auto" w:fill="auto"/>
            <w:vAlign w:val="center"/>
          </w:tcPr>
          <w:p w14:paraId="39C127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1684" w:type="dxa"/>
            <w:tcBorders>
              <w:top w:val="nil"/>
              <w:left w:val="nil"/>
              <w:bottom w:val="single" w:color="000000" w:sz="4" w:space="0"/>
              <w:right w:val="single" w:color="000000" w:sz="4" w:space="0"/>
            </w:tcBorders>
            <w:shd w:val="clear" w:color="auto" w:fill="auto"/>
            <w:vAlign w:val="center"/>
          </w:tcPr>
          <w:p w14:paraId="6FB7EE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FDA8D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1700" w:type="dxa"/>
            <w:tcBorders>
              <w:top w:val="nil"/>
              <w:left w:val="nil"/>
              <w:bottom w:val="single" w:color="000000" w:sz="4" w:space="0"/>
              <w:right w:val="single" w:color="000000" w:sz="4" w:space="0"/>
            </w:tcBorders>
            <w:shd w:val="clear" w:color="auto" w:fill="auto"/>
            <w:vAlign w:val="center"/>
          </w:tcPr>
          <w:p w14:paraId="5C6DF0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1733" w:type="dxa"/>
            <w:tcBorders>
              <w:top w:val="nil"/>
              <w:left w:val="nil"/>
              <w:bottom w:val="single" w:color="000000" w:sz="4" w:space="0"/>
              <w:right w:val="single" w:color="000000" w:sz="4" w:space="0"/>
            </w:tcBorders>
            <w:shd w:val="clear" w:color="auto" w:fill="auto"/>
            <w:vAlign w:val="center"/>
          </w:tcPr>
          <w:p w14:paraId="312D065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F3DE3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B6EF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FAADC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5F95D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72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8C21D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A3842A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630D9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14C7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6A5E5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87F59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 </w:t>
            </w:r>
          </w:p>
        </w:tc>
        <w:tc>
          <w:tcPr>
            <w:tcW w:w="1666" w:type="dxa"/>
            <w:tcBorders>
              <w:top w:val="nil"/>
              <w:left w:val="nil"/>
              <w:bottom w:val="single" w:color="000000" w:sz="4" w:space="0"/>
              <w:right w:val="single" w:color="000000" w:sz="4" w:space="0"/>
            </w:tcBorders>
            <w:shd w:val="clear" w:color="auto" w:fill="auto"/>
            <w:vAlign w:val="center"/>
          </w:tcPr>
          <w:p w14:paraId="11112A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 </w:t>
            </w:r>
          </w:p>
        </w:tc>
        <w:tc>
          <w:tcPr>
            <w:tcW w:w="1684" w:type="dxa"/>
            <w:tcBorders>
              <w:top w:val="nil"/>
              <w:left w:val="nil"/>
              <w:bottom w:val="single" w:color="000000" w:sz="4" w:space="0"/>
              <w:right w:val="single" w:color="000000" w:sz="4" w:space="0"/>
            </w:tcBorders>
            <w:shd w:val="clear" w:color="auto" w:fill="auto"/>
            <w:vAlign w:val="center"/>
          </w:tcPr>
          <w:p w14:paraId="398A5C6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A95C0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 </w:t>
            </w:r>
          </w:p>
        </w:tc>
        <w:tc>
          <w:tcPr>
            <w:tcW w:w="1700" w:type="dxa"/>
            <w:tcBorders>
              <w:top w:val="nil"/>
              <w:left w:val="nil"/>
              <w:bottom w:val="single" w:color="000000" w:sz="4" w:space="0"/>
              <w:right w:val="single" w:color="000000" w:sz="4" w:space="0"/>
            </w:tcBorders>
            <w:shd w:val="clear" w:color="auto" w:fill="auto"/>
            <w:vAlign w:val="center"/>
          </w:tcPr>
          <w:p w14:paraId="64995A0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 </w:t>
            </w:r>
          </w:p>
        </w:tc>
        <w:tc>
          <w:tcPr>
            <w:tcW w:w="1733" w:type="dxa"/>
            <w:tcBorders>
              <w:top w:val="nil"/>
              <w:left w:val="nil"/>
              <w:bottom w:val="single" w:color="000000" w:sz="4" w:space="0"/>
              <w:right w:val="single" w:color="000000" w:sz="4" w:space="0"/>
            </w:tcBorders>
            <w:shd w:val="clear" w:color="auto" w:fill="auto"/>
            <w:vAlign w:val="center"/>
          </w:tcPr>
          <w:p w14:paraId="6FADED7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92C41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33BD8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7770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6DE86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B9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753F5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0AC147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8A123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B3C9B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47BD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9F5FA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 </w:t>
            </w:r>
          </w:p>
        </w:tc>
        <w:tc>
          <w:tcPr>
            <w:tcW w:w="1666" w:type="dxa"/>
            <w:tcBorders>
              <w:top w:val="nil"/>
              <w:left w:val="nil"/>
              <w:bottom w:val="single" w:color="000000" w:sz="4" w:space="0"/>
              <w:right w:val="single" w:color="000000" w:sz="4" w:space="0"/>
            </w:tcBorders>
            <w:shd w:val="clear" w:color="auto" w:fill="auto"/>
            <w:vAlign w:val="center"/>
          </w:tcPr>
          <w:p w14:paraId="6E7152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 </w:t>
            </w:r>
          </w:p>
        </w:tc>
        <w:tc>
          <w:tcPr>
            <w:tcW w:w="1684" w:type="dxa"/>
            <w:tcBorders>
              <w:top w:val="nil"/>
              <w:left w:val="nil"/>
              <w:bottom w:val="single" w:color="000000" w:sz="4" w:space="0"/>
              <w:right w:val="single" w:color="000000" w:sz="4" w:space="0"/>
            </w:tcBorders>
            <w:shd w:val="clear" w:color="auto" w:fill="auto"/>
            <w:vAlign w:val="center"/>
          </w:tcPr>
          <w:p w14:paraId="0836A3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56E09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 </w:t>
            </w:r>
          </w:p>
        </w:tc>
        <w:tc>
          <w:tcPr>
            <w:tcW w:w="1700" w:type="dxa"/>
            <w:tcBorders>
              <w:top w:val="nil"/>
              <w:left w:val="nil"/>
              <w:bottom w:val="single" w:color="000000" w:sz="4" w:space="0"/>
              <w:right w:val="single" w:color="000000" w:sz="4" w:space="0"/>
            </w:tcBorders>
            <w:shd w:val="clear" w:color="auto" w:fill="auto"/>
            <w:vAlign w:val="center"/>
          </w:tcPr>
          <w:p w14:paraId="7586E6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 </w:t>
            </w:r>
          </w:p>
        </w:tc>
        <w:tc>
          <w:tcPr>
            <w:tcW w:w="1733" w:type="dxa"/>
            <w:tcBorders>
              <w:top w:val="nil"/>
              <w:left w:val="nil"/>
              <w:bottom w:val="single" w:color="000000" w:sz="4" w:space="0"/>
              <w:right w:val="single" w:color="000000" w:sz="4" w:space="0"/>
            </w:tcBorders>
            <w:shd w:val="clear" w:color="auto" w:fill="auto"/>
            <w:vAlign w:val="center"/>
          </w:tcPr>
          <w:p w14:paraId="02614DE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03140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89639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3F3D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BFE2B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7C1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FA4F4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01F2254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88528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64371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DA0C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417C2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 </w:t>
            </w:r>
          </w:p>
        </w:tc>
        <w:tc>
          <w:tcPr>
            <w:tcW w:w="1666" w:type="dxa"/>
            <w:tcBorders>
              <w:top w:val="nil"/>
              <w:left w:val="nil"/>
              <w:bottom w:val="single" w:color="000000" w:sz="4" w:space="0"/>
              <w:right w:val="single" w:color="000000" w:sz="4" w:space="0"/>
            </w:tcBorders>
            <w:shd w:val="clear" w:color="auto" w:fill="auto"/>
            <w:vAlign w:val="center"/>
          </w:tcPr>
          <w:p w14:paraId="02C55B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 </w:t>
            </w:r>
          </w:p>
        </w:tc>
        <w:tc>
          <w:tcPr>
            <w:tcW w:w="1684" w:type="dxa"/>
            <w:tcBorders>
              <w:top w:val="nil"/>
              <w:left w:val="nil"/>
              <w:bottom w:val="single" w:color="000000" w:sz="4" w:space="0"/>
              <w:right w:val="single" w:color="000000" w:sz="4" w:space="0"/>
            </w:tcBorders>
            <w:shd w:val="clear" w:color="auto" w:fill="auto"/>
            <w:vAlign w:val="center"/>
          </w:tcPr>
          <w:p w14:paraId="34FF8AE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937BDF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 </w:t>
            </w:r>
          </w:p>
        </w:tc>
        <w:tc>
          <w:tcPr>
            <w:tcW w:w="1700" w:type="dxa"/>
            <w:tcBorders>
              <w:top w:val="nil"/>
              <w:left w:val="nil"/>
              <w:bottom w:val="single" w:color="000000" w:sz="4" w:space="0"/>
              <w:right w:val="single" w:color="000000" w:sz="4" w:space="0"/>
            </w:tcBorders>
            <w:shd w:val="clear" w:color="auto" w:fill="auto"/>
            <w:vAlign w:val="center"/>
          </w:tcPr>
          <w:p w14:paraId="3E16898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 </w:t>
            </w:r>
          </w:p>
        </w:tc>
        <w:tc>
          <w:tcPr>
            <w:tcW w:w="1733" w:type="dxa"/>
            <w:tcBorders>
              <w:top w:val="nil"/>
              <w:left w:val="nil"/>
              <w:bottom w:val="single" w:color="000000" w:sz="4" w:space="0"/>
              <w:right w:val="single" w:color="000000" w:sz="4" w:space="0"/>
            </w:tcBorders>
            <w:shd w:val="clear" w:color="auto" w:fill="auto"/>
            <w:vAlign w:val="center"/>
          </w:tcPr>
          <w:p w14:paraId="6CED450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81FA8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AEFEB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64A94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F511C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C38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C8AE2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2FA7BD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6261FB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58ED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1D1F4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A361C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666" w:type="dxa"/>
            <w:tcBorders>
              <w:top w:val="nil"/>
              <w:left w:val="nil"/>
              <w:bottom w:val="single" w:color="000000" w:sz="4" w:space="0"/>
              <w:right w:val="single" w:color="000000" w:sz="4" w:space="0"/>
            </w:tcBorders>
            <w:shd w:val="clear" w:color="auto" w:fill="auto"/>
            <w:vAlign w:val="center"/>
          </w:tcPr>
          <w:p w14:paraId="39F2AA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684" w:type="dxa"/>
            <w:tcBorders>
              <w:top w:val="nil"/>
              <w:left w:val="nil"/>
              <w:bottom w:val="single" w:color="000000" w:sz="4" w:space="0"/>
              <w:right w:val="single" w:color="000000" w:sz="4" w:space="0"/>
            </w:tcBorders>
            <w:shd w:val="clear" w:color="auto" w:fill="auto"/>
            <w:vAlign w:val="center"/>
          </w:tcPr>
          <w:p w14:paraId="02E784A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7D5B7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700" w:type="dxa"/>
            <w:tcBorders>
              <w:top w:val="nil"/>
              <w:left w:val="nil"/>
              <w:bottom w:val="single" w:color="000000" w:sz="4" w:space="0"/>
              <w:right w:val="single" w:color="000000" w:sz="4" w:space="0"/>
            </w:tcBorders>
            <w:shd w:val="clear" w:color="auto" w:fill="auto"/>
            <w:vAlign w:val="center"/>
          </w:tcPr>
          <w:p w14:paraId="2CBD55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733" w:type="dxa"/>
            <w:tcBorders>
              <w:top w:val="nil"/>
              <w:left w:val="nil"/>
              <w:bottom w:val="single" w:color="000000" w:sz="4" w:space="0"/>
              <w:right w:val="single" w:color="000000" w:sz="4" w:space="0"/>
            </w:tcBorders>
            <w:shd w:val="clear" w:color="auto" w:fill="auto"/>
            <w:vAlign w:val="center"/>
          </w:tcPr>
          <w:p w14:paraId="4C496E6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5423A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D114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E14D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B20E7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A35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FDE32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B5A31E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B66EC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C706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66478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CC38F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666" w:type="dxa"/>
            <w:tcBorders>
              <w:top w:val="nil"/>
              <w:left w:val="nil"/>
              <w:bottom w:val="single" w:color="000000" w:sz="4" w:space="0"/>
              <w:right w:val="single" w:color="000000" w:sz="4" w:space="0"/>
            </w:tcBorders>
            <w:shd w:val="clear" w:color="auto" w:fill="auto"/>
            <w:vAlign w:val="center"/>
          </w:tcPr>
          <w:p w14:paraId="781927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684" w:type="dxa"/>
            <w:tcBorders>
              <w:top w:val="nil"/>
              <w:left w:val="nil"/>
              <w:bottom w:val="single" w:color="000000" w:sz="4" w:space="0"/>
              <w:right w:val="single" w:color="000000" w:sz="4" w:space="0"/>
            </w:tcBorders>
            <w:shd w:val="clear" w:color="auto" w:fill="auto"/>
            <w:vAlign w:val="center"/>
          </w:tcPr>
          <w:p w14:paraId="7C32A78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71118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700" w:type="dxa"/>
            <w:tcBorders>
              <w:top w:val="nil"/>
              <w:left w:val="nil"/>
              <w:bottom w:val="single" w:color="000000" w:sz="4" w:space="0"/>
              <w:right w:val="single" w:color="000000" w:sz="4" w:space="0"/>
            </w:tcBorders>
            <w:shd w:val="clear" w:color="auto" w:fill="auto"/>
            <w:vAlign w:val="center"/>
          </w:tcPr>
          <w:p w14:paraId="20BF63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733" w:type="dxa"/>
            <w:tcBorders>
              <w:top w:val="nil"/>
              <w:left w:val="nil"/>
              <w:bottom w:val="single" w:color="000000" w:sz="4" w:space="0"/>
              <w:right w:val="single" w:color="000000" w:sz="4" w:space="0"/>
            </w:tcBorders>
            <w:shd w:val="clear" w:color="auto" w:fill="auto"/>
            <w:vAlign w:val="center"/>
          </w:tcPr>
          <w:p w14:paraId="7F1F1B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3C0B4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960EE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0651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4103A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D5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2A949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663B4F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7A237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6A288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CC2A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0B30D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 </w:t>
            </w:r>
          </w:p>
        </w:tc>
        <w:tc>
          <w:tcPr>
            <w:tcW w:w="1666" w:type="dxa"/>
            <w:tcBorders>
              <w:top w:val="nil"/>
              <w:left w:val="nil"/>
              <w:bottom w:val="single" w:color="000000" w:sz="4" w:space="0"/>
              <w:right w:val="single" w:color="000000" w:sz="4" w:space="0"/>
            </w:tcBorders>
            <w:shd w:val="clear" w:color="auto" w:fill="auto"/>
            <w:vAlign w:val="center"/>
          </w:tcPr>
          <w:p w14:paraId="64B26BA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 </w:t>
            </w:r>
          </w:p>
        </w:tc>
        <w:tc>
          <w:tcPr>
            <w:tcW w:w="1684" w:type="dxa"/>
            <w:tcBorders>
              <w:top w:val="nil"/>
              <w:left w:val="nil"/>
              <w:bottom w:val="single" w:color="000000" w:sz="4" w:space="0"/>
              <w:right w:val="single" w:color="000000" w:sz="4" w:space="0"/>
            </w:tcBorders>
            <w:shd w:val="clear" w:color="auto" w:fill="auto"/>
            <w:vAlign w:val="center"/>
          </w:tcPr>
          <w:p w14:paraId="00C166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BE267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 </w:t>
            </w:r>
          </w:p>
        </w:tc>
        <w:tc>
          <w:tcPr>
            <w:tcW w:w="1700" w:type="dxa"/>
            <w:tcBorders>
              <w:top w:val="nil"/>
              <w:left w:val="nil"/>
              <w:bottom w:val="single" w:color="000000" w:sz="4" w:space="0"/>
              <w:right w:val="single" w:color="000000" w:sz="4" w:space="0"/>
            </w:tcBorders>
            <w:shd w:val="clear" w:color="auto" w:fill="auto"/>
            <w:vAlign w:val="center"/>
          </w:tcPr>
          <w:p w14:paraId="4D403F8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 </w:t>
            </w:r>
          </w:p>
        </w:tc>
        <w:tc>
          <w:tcPr>
            <w:tcW w:w="1733" w:type="dxa"/>
            <w:tcBorders>
              <w:top w:val="nil"/>
              <w:left w:val="nil"/>
              <w:bottom w:val="single" w:color="000000" w:sz="4" w:space="0"/>
              <w:right w:val="single" w:color="000000" w:sz="4" w:space="0"/>
            </w:tcBorders>
            <w:shd w:val="clear" w:color="auto" w:fill="auto"/>
            <w:vAlign w:val="center"/>
          </w:tcPr>
          <w:p w14:paraId="2FAA92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3B3FFD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E747E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7BF8E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666AD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405240D">
      <w:pPr>
        <w:keepNext w:val="0"/>
        <w:keepLines w:val="0"/>
        <w:pageBreakBefore w:val="0"/>
        <w:numPr>
          <w:ilvl w:val="0"/>
          <w:numId w:val="0"/>
        </w:numPr>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A6F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2DB1B5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726C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4CB9BF5">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巫溪县红池坝景区管委会（本级）</w:t>
            </w:r>
          </w:p>
        </w:tc>
        <w:tc>
          <w:tcPr>
            <w:tcW w:w="2682" w:type="dxa"/>
            <w:tcBorders>
              <w:top w:val="nil"/>
              <w:left w:val="nil"/>
              <w:bottom w:val="nil"/>
              <w:right w:val="nil"/>
            </w:tcBorders>
            <w:shd w:val="clear" w:color="auto" w:fill="auto"/>
            <w:vAlign w:val="bottom"/>
          </w:tcPr>
          <w:p w14:paraId="0F7927E5">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4579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2A3356A">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6F7FED6B">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5C7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3821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717BBC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72A9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714E58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11188B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DF0F05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D111ED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EA6EDB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1E725F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80BC5C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246AEF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1BAAC67">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03FB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56BE055">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29F2C7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160CEA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1887B19">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46BBF5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3A52E4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B7C7E2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E15381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C187DD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60D3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3D5FE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25F125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20A9B5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34.27 </w:t>
            </w:r>
          </w:p>
        </w:tc>
        <w:tc>
          <w:tcPr>
            <w:tcW w:w="1234" w:type="dxa"/>
            <w:tcBorders>
              <w:top w:val="nil"/>
              <w:left w:val="nil"/>
              <w:bottom w:val="single" w:color="000000" w:sz="4" w:space="0"/>
              <w:right w:val="single" w:color="000000" w:sz="4" w:space="0"/>
            </w:tcBorders>
            <w:shd w:val="clear" w:color="auto" w:fill="auto"/>
            <w:vAlign w:val="center"/>
          </w:tcPr>
          <w:p w14:paraId="22F4F17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18B3B0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C7D907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7.55 </w:t>
            </w:r>
          </w:p>
        </w:tc>
        <w:tc>
          <w:tcPr>
            <w:tcW w:w="1133" w:type="dxa"/>
            <w:tcBorders>
              <w:top w:val="nil"/>
              <w:left w:val="nil"/>
              <w:bottom w:val="single" w:color="000000" w:sz="4" w:space="0"/>
              <w:right w:val="single" w:color="000000" w:sz="4" w:space="0"/>
            </w:tcBorders>
            <w:shd w:val="clear" w:color="auto" w:fill="auto"/>
            <w:vAlign w:val="center"/>
          </w:tcPr>
          <w:p w14:paraId="26B628E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105E8D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A3552E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59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0D057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BB36A1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D064E9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7.12 </w:t>
            </w:r>
          </w:p>
        </w:tc>
        <w:tc>
          <w:tcPr>
            <w:tcW w:w="1234" w:type="dxa"/>
            <w:tcBorders>
              <w:top w:val="nil"/>
              <w:left w:val="nil"/>
              <w:bottom w:val="single" w:color="000000" w:sz="4" w:space="0"/>
              <w:right w:val="single" w:color="000000" w:sz="4" w:space="0"/>
            </w:tcBorders>
            <w:shd w:val="clear" w:color="auto" w:fill="auto"/>
            <w:vAlign w:val="center"/>
          </w:tcPr>
          <w:p w14:paraId="201CF09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F9AB14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757919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 </w:t>
            </w:r>
          </w:p>
        </w:tc>
        <w:tc>
          <w:tcPr>
            <w:tcW w:w="1133" w:type="dxa"/>
            <w:tcBorders>
              <w:top w:val="nil"/>
              <w:left w:val="nil"/>
              <w:bottom w:val="single" w:color="000000" w:sz="4" w:space="0"/>
              <w:right w:val="single" w:color="000000" w:sz="4" w:space="0"/>
            </w:tcBorders>
            <w:shd w:val="clear" w:color="auto" w:fill="auto"/>
            <w:vAlign w:val="center"/>
          </w:tcPr>
          <w:p w14:paraId="018EFDE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17548CD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E88EC2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B7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E25F5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DFB1B3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123C49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7.66 </w:t>
            </w:r>
          </w:p>
        </w:tc>
        <w:tc>
          <w:tcPr>
            <w:tcW w:w="1234" w:type="dxa"/>
            <w:tcBorders>
              <w:top w:val="nil"/>
              <w:left w:val="nil"/>
              <w:bottom w:val="single" w:color="000000" w:sz="4" w:space="0"/>
              <w:right w:val="single" w:color="000000" w:sz="4" w:space="0"/>
            </w:tcBorders>
            <w:shd w:val="clear" w:color="auto" w:fill="auto"/>
            <w:vAlign w:val="center"/>
          </w:tcPr>
          <w:p w14:paraId="47BD7B5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6B5555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9E23BB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F1B9A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3CC6DD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D4D45D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BB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752F9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1E9E7E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5FBD88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7.50 </w:t>
            </w:r>
          </w:p>
        </w:tc>
        <w:tc>
          <w:tcPr>
            <w:tcW w:w="1234" w:type="dxa"/>
            <w:tcBorders>
              <w:top w:val="nil"/>
              <w:left w:val="nil"/>
              <w:bottom w:val="single" w:color="000000" w:sz="4" w:space="0"/>
              <w:right w:val="single" w:color="000000" w:sz="4" w:space="0"/>
            </w:tcBorders>
            <w:shd w:val="clear" w:color="auto" w:fill="auto"/>
            <w:vAlign w:val="center"/>
          </w:tcPr>
          <w:p w14:paraId="57A29E5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0CD9DB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A43339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5F4CB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FA21ED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03EDAD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AE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7B271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26F72F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15187E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7B448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0A5672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285FBBF">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570B4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364488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0EA92E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F3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21F01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0C3305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C899DE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DAEA7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BFB075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14A915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14:paraId="07616E8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499B0E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F6EF66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7B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A9909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C2724E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A3223AF">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4.25 </w:t>
            </w:r>
          </w:p>
        </w:tc>
        <w:tc>
          <w:tcPr>
            <w:tcW w:w="1234" w:type="dxa"/>
            <w:tcBorders>
              <w:top w:val="nil"/>
              <w:left w:val="nil"/>
              <w:bottom w:val="single" w:color="000000" w:sz="4" w:space="0"/>
              <w:right w:val="single" w:color="000000" w:sz="4" w:space="0"/>
            </w:tcBorders>
            <w:shd w:val="clear" w:color="auto" w:fill="auto"/>
            <w:vAlign w:val="center"/>
          </w:tcPr>
          <w:p w14:paraId="0139EDD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B0E832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99C69B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14:paraId="590EB70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4B09A7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92EB99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10F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50D19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CF9D16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E73EBA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 </w:t>
            </w:r>
          </w:p>
        </w:tc>
        <w:tc>
          <w:tcPr>
            <w:tcW w:w="1234" w:type="dxa"/>
            <w:tcBorders>
              <w:top w:val="nil"/>
              <w:left w:val="nil"/>
              <w:bottom w:val="single" w:color="000000" w:sz="4" w:space="0"/>
              <w:right w:val="single" w:color="000000" w:sz="4" w:space="0"/>
            </w:tcBorders>
            <w:shd w:val="clear" w:color="auto" w:fill="auto"/>
            <w:vAlign w:val="center"/>
          </w:tcPr>
          <w:p w14:paraId="2B73354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519CDD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6A050C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3DEBE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9A1705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0B481E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CE9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3147D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E70F46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3E944D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2.66 </w:t>
            </w:r>
          </w:p>
        </w:tc>
        <w:tc>
          <w:tcPr>
            <w:tcW w:w="1234" w:type="dxa"/>
            <w:tcBorders>
              <w:top w:val="nil"/>
              <w:left w:val="nil"/>
              <w:bottom w:val="single" w:color="000000" w:sz="4" w:space="0"/>
              <w:right w:val="single" w:color="000000" w:sz="4" w:space="0"/>
            </w:tcBorders>
            <w:shd w:val="clear" w:color="auto" w:fill="auto"/>
            <w:vAlign w:val="center"/>
          </w:tcPr>
          <w:p w14:paraId="7B8CBCE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3C6B6D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AD7995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3DC3D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FB1959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D26F5F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F4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695E9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D0BE5B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F0482C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B67EF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422C6F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3DBFCD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FD1DF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E518EB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0CD39D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3A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B344B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41B0422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802F85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0.08 </w:t>
            </w:r>
          </w:p>
        </w:tc>
        <w:tc>
          <w:tcPr>
            <w:tcW w:w="1234" w:type="dxa"/>
            <w:tcBorders>
              <w:top w:val="nil"/>
              <w:left w:val="nil"/>
              <w:bottom w:val="single" w:color="000000" w:sz="4" w:space="0"/>
              <w:right w:val="single" w:color="000000" w:sz="4" w:space="0"/>
            </w:tcBorders>
            <w:shd w:val="clear" w:color="auto" w:fill="auto"/>
            <w:vAlign w:val="center"/>
          </w:tcPr>
          <w:p w14:paraId="37EB230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3D5042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58957E4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 </w:t>
            </w:r>
          </w:p>
        </w:tc>
        <w:tc>
          <w:tcPr>
            <w:tcW w:w="1133" w:type="dxa"/>
            <w:tcBorders>
              <w:top w:val="nil"/>
              <w:left w:val="nil"/>
              <w:bottom w:val="single" w:color="000000" w:sz="4" w:space="0"/>
              <w:right w:val="single" w:color="000000" w:sz="4" w:space="0"/>
            </w:tcBorders>
            <w:shd w:val="clear" w:color="auto" w:fill="auto"/>
            <w:vAlign w:val="center"/>
          </w:tcPr>
          <w:p w14:paraId="08C3511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7A01FA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C878C3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E1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50F6F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3BF126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93EA49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2.86 </w:t>
            </w:r>
          </w:p>
        </w:tc>
        <w:tc>
          <w:tcPr>
            <w:tcW w:w="1234" w:type="dxa"/>
            <w:tcBorders>
              <w:top w:val="nil"/>
              <w:left w:val="nil"/>
              <w:bottom w:val="single" w:color="000000" w:sz="4" w:space="0"/>
              <w:right w:val="single" w:color="000000" w:sz="4" w:space="0"/>
            </w:tcBorders>
            <w:shd w:val="clear" w:color="auto" w:fill="auto"/>
            <w:vAlign w:val="center"/>
          </w:tcPr>
          <w:p w14:paraId="0B9BA59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42A2FE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0BC765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B9FA9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D09689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43DAD4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71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51576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0C349BC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9DCCAB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AD8F2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2C0EBE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BC7DF2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EA061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955A29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6A1308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F37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DBC75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436E94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B27D3C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D6968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B6B32D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6C5AC1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941E3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9359C6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7BAC6B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D6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07DC3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E7DB7B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B3CC5C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41DBC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8E61B8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3A7B4B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DA8A2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037050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70BDDD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4E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776F0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E99249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4F9F5C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BE08F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F3A754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44DC86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4093A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44963E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131A5B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C6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080AC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FD96F5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3D5AF8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225D9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AA83F3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D4AA51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74C8B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684975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F7BAB3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AC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2DFA6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56243A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1124BB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F04F9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DCF763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E6E7A1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EB382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0B5912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58649A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01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81CAD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2ABA79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18FE69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9F70B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DF5E3A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36952C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3DE6F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A9C8BF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B02561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C5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6588A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5C1F9F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A326F7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E04AD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5DA16D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0B58EE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98C15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937B8A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21500E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E2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6675F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0D54DD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6CB462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BB165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9BA20D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C737EB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0.38 </w:t>
            </w:r>
          </w:p>
        </w:tc>
        <w:tc>
          <w:tcPr>
            <w:tcW w:w="1133" w:type="dxa"/>
            <w:tcBorders>
              <w:top w:val="nil"/>
              <w:left w:val="nil"/>
              <w:bottom w:val="single" w:color="000000" w:sz="4" w:space="0"/>
              <w:right w:val="single" w:color="000000" w:sz="4" w:space="0"/>
            </w:tcBorders>
            <w:shd w:val="clear" w:color="auto" w:fill="auto"/>
            <w:vAlign w:val="center"/>
          </w:tcPr>
          <w:p w14:paraId="6E1F2DE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7DCB06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A5C23F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50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A4528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43F3B0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AFB704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2AF87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5C186E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89E0F7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70787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6F80E3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627BF0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77B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22443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4E391F6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801540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3BAB6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A6E73D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C3BF28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DFE0D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AE451D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7F6C2E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58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715BA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69AF78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C80313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BAB29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928636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79B365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8060C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ADC445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98966A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B6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0675B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C1E9BC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2659CD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49C50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CFF92F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E7B0E5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 </w:t>
            </w:r>
          </w:p>
        </w:tc>
        <w:tc>
          <w:tcPr>
            <w:tcW w:w="1133" w:type="dxa"/>
            <w:tcBorders>
              <w:top w:val="nil"/>
              <w:left w:val="nil"/>
              <w:bottom w:val="single" w:color="000000" w:sz="4" w:space="0"/>
              <w:right w:val="single" w:color="000000" w:sz="4" w:space="0"/>
            </w:tcBorders>
            <w:shd w:val="clear" w:color="auto" w:fill="auto"/>
            <w:vAlign w:val="center"/>
          </w:tcPr>
          <w:p w14:paraId="776CB14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8A13AE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A9FFC0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4D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5BCCF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8A422C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8EFAF0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9348E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689334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BBB8C6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 </w:t>
            </w:r>
          </w:p>
        </w:tc>
        <w:tc>
          <w:tcPr>
            <w:tcW w:w="1133" w:type="dxa"/>
            <w:tcBorders>
              <w:top w:val="nil"/>
              <w:left w:val="nil"/>
              <w:bottom w:val="single" w:color="000000" w:sz="4" w:space="0"/>
              <w:right w:val="single" w:color="000000" w:sz="4" w:space="0"/>
            </w:tcBorders>
            <w:shd w:val="clear" w:color="auto" w:fill="auto"/>
            <w:vAlign w:val="center"/>
          </w:tcPr>
          <w:p w14:paraId="11530CC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3FA11C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0DF0F2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75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EE452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4EA75B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CD1F1E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E915F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FAAF08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5F589F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55AF0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E7DE01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6BE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EB4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CBCE7E">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BC0FDE7">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64505">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FEC7DF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9559F0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4BE738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0.98 </w:t>
            </w:r>
          </w:p>
        </w:tc>
        <w:tc>
          <w:tcPr>
            <w:tcW w:w="1133" w:type="dxa"/>
            <w:tcBorders>
              <w:top w:val="nil"/>
              <w:left w:val="nil"/>
              <w:bottom w:val="single" w:color="000000" w:sz="4" w:space="0"/>
              <w:right w:val="single" w:color="000000" w:sz="4" w:space="0"/>
            </w:tcBorders>
            <w:shd w:val="clear" w:color="auto" w:fill="auto"/>
            <w:vAlign w:val="center"/>
          </w:tcPr>
          <w:p w14:paraId="73452CF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51BECC6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BF2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A6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8AD531">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CB3FA28">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757060">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EB53D9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B16B5E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188839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13533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01BBBB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5CC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D3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41105C">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2AC50E6">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C30F9F">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B398A3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6C84A1A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F7B034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5BAC2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064239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997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5316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85B0D2">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7CBC9C3">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20F490">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69B019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F639DC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174F13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29A59A">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95CDFE5">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6D14">
            <w:pPr>
              <w:keepNext w:val="0"/>
              <w:keepLines w:val="0"/>
              <w:pageBreakBefore w:val="0"/>
              <w:widowControl/>
              <w:kinsoku/>
              <w:overflowPunct/>
              <w:topLinePunct w:val="0"/>
              <w:autoSpaceDE/>
              <w:autoSpaceDN/>
              <w:bidi w:val="0"/>
              <w:adjustRightInd/>
              <w:snapToGrid/>
              <w:spacing w:beforeAutospacing="0" w:afterAutospacing="0" w:line="600" w:lineRule="exact"/>
              <w:jc w:val="right"/>
              <w:rPr>
                <w:rFonts w:hint="default" w:ascii="Times New Roman" w:hAnsi="Times New Roman" w:eastAsia="宋体" w:cs="Times New Roman"/>
                <w:i w:val="0"/>
                <w:iCs w:val="0"/>
                <w:color w:val="000000"/>
                <w:sz w:val="22"/>
                <w:szCs w:val="22"/>
                <w:u w:val="none"/>
              </w:rPr>
            </w:pPr>
          </w:p>
        </w:tc>
      </w:tr>
      <w:tr w14:paraId="2C59F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376E44">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8C404A4">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C79EFF">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99F91D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46A0C8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6343F5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14E6F7">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A55BC33">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3E96">
            <w:pPr>
              <w:keepNext w:val="0"/>
              <w:keepLines w:val="0"/>
              <w:pageBreakBefore w:val="0"/>
              <w:widowControl/>
              <w:kinsoku/>
              <w:overflowPunct/>
              <w:topLinePunct w:val="0"/>
              <w:autoSpaceDE/>
              <w:autoSpaceDN/>
              <w:bidi w:val="0"/>
              <w:adjustRightInd/>
              <w:snapToGrid/>
              <w:spacing w:beforeAutospacing="0" w:afterAutospacing="0" w:line="600" w:lineRule="exact"/>
              <w:jc w:val="right"/>
              <w:rPr>
                <w:rFonts w:hint="default" w:ascii="Times New Roman" w:hAnsi="Times New Roman" w:eastAsia="宋体" w:cs="Times New Roman"/>
                <w:i w:val="0"/>
                <w:iCs w:val="0"/>
                <w:color w:val="000000"/>
                <w:sz w:val="22"/>
                <w:szCs w:val="22"/>
                <w:u w:val="none"/>
              </w:rPr>
            </w:pPr>
          </w:p>
        </w:tc>
      </w:tr>
      <w:tr w14:paraId="5018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D17EA9">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BBC564C">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54E77">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B8711C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874C79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019D9E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4CA701">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1A90AB1">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2A6F">
            <w:pPr>
              <w:keepNext w:val="0"/>
              <w:keepLines w:val="0"/>
              <w:pageBreakBefore w:val="0"/>
              <w:widowControl/>
              <w:kinsoku/>
              <w:overflowPunct/>
              <w:topLinePunct w:val="0"/>
              <w:autoSpaceDE/>
              <w:autoSpaceDN/>
              <w:bidi w:val="0"/>
              <w:adjustRightInd/>
              <w:snapToGrid/>
              <w:spacing w:beforeAutospacing="0" w:afterAutospacing="0" w:line="600" w:lineRule="exact"/>
              <w:jc w:val="right"/>
              <w:rPr>
                <w:rFonts w:hint="default" w:ascii="Times New Roman" w:hAnsi="Times New Roman" w:eastAsia="宋体" w:cs="Times New Roman"/>
                <w:i w:val="0"/>
                <w:iCs w:val="0"/>
                <w:color w:val="000000"/>
                <w:sz w:val="22"/>
                <w:szCs w:val="22"/>
                <w:u w:val="none"/>
              </w:rPr>
            </w:pPr>
          </w:p>
        </w:tc>
      </w:tr>
      <w:tr w14:paraId="498B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BBC380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E7A6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34.27 </w:t>
            </w:r>
          </w:p>
        </w:tc>
        <w:tc>
          <w:tcPr>
            <w:tcW w:w="12067" w:type="dxa"/>
            <w:gridSpan w:val="5"/>
            <w:tcBorders>
              <w:top w:val="nil"/>
              <w:left w:val="nil"/>
              <w:bottom w:val="single" w:color="000000" w:sz="4" w:space="0"/>
              <w:right w:val="single" w:color="000000" w:sz="4" w:space="0"/>
            </w:tcBorders>
            <w:shd w:val="clear" w:color="auto" w:fill="auto"/>
            <w:vAlign w:val="center"/>
          </w:tcPr>
          <w:p w14:paraId="3503E58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A129BA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7.55 </w:t>
            </w:r>
          </w:p>
        </w:tc>
      </w:tr>
    </w:tbl>
    <w:p w14:paraId="0714E85B">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7EC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508B62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408A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DA433DD">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巫溪县红池坝景区管委会（本级）</w:t>
            </w:r>
          </w:p>
        </w:tc>
        <w:tc>
          <w:tcPr>
            <w:tcW w:w="1156" w:type="dxa"/>
            <w:tcBorders>
              <w:top w:val="nil"/>
              <w:left w:val="nil"/>
              <w:bottom w:val="nil"/>
              <w:right w:val="nil"/>
            </w:tcBorders>
            <w:shd w:val="clear" w:color="auto" w:fill="auto"/>
            <w:vAlign w:val="bottom"/>
          </w:tcPr>
          <w:p w14:paraId="593B5591">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384C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33A133A">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1B265236">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C15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838F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B22036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8001BD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9EFD60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8D5F37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FCC8B1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6DE0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C2A8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B460A2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02E7E3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E45EE4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241925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6CF701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985013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4D76EB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F6264B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8ADAB7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07DE62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407CA0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B77A48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6A4948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6339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9B9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A21E5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D01AA7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848275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17B5FC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6F42B9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062209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7D3833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A95E84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6459B5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347473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03CC02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B72D16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A1555C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B7926D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6F08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5DE2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387574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B543B2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27AAF0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66A5F5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AD17AE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E2A02B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3BCA57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69146C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D857F4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EAE35E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52F65E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0F92F1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C2863E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9A966D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13A5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11ABC2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F3F601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14E366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8239BE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1046AC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9F8E8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A92E00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1DD38E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A556AD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9B17CD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A01E9C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5D6E8A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DC509E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CEB88D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E6FF22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5CBC68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BC5FA8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07E7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655D0F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DFA6D1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0FBC19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BD55F3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90CAA4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32DE4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C56F49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5C36E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EBB40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2ACBC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74791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1B8C53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A40B7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5DA6C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D4BF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243B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75DC6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CB1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E7AD6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DBE29F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40B49C9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F9F7D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CF91E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95D63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80A2D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1F342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C12DC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44580D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ED52C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428AC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55151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1EB00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78AB1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3B09E93">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备注：本表反映部门本年度政府性基金预算财政拨款收入支出及结转和结余情况。本部门无政府性基金收支，故本表无数据。</w:t>
      </w:r>
      <w:r>
        <w:rPr>
          <w:rFonts w:hint="default" w:ascii="Times New Roman" w:hAnsi="Times New Roman" w:eastAsia="宋体" w:cs="Times New Roman"/>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7BF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9F9F82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6E31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6199850">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巫溪县红池坝景区管委会（本级）</w:t>
            </w:r>
          </w:p>
        </w:tc>
        <w:tc>
          <w:tcPr>
            <w:tcW w:w="2116" w:type="dxa"/>
            <w:tcBorders>
              <w:top w:val="nil"/>
              <w:left w:val="nil"/>
              <w:bottom w:val="nil"/>
              <w:right w:val="nil"/>
            </w:tcBorders>
            <w:shd w:val="clear" w:color="auto" w:fill="auto"/>
            <w:vAlign w:val="bottom"/>
          </w:tcPr>
          <w:p w14:paraId="09A0A9C8">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1ED5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CF9E7F3">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14:paraId="42F4F9C9">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D75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F946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F73C65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0141B9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AF6DFF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A04B0A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9958B1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509F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1EC7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EEC145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9623627">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B80ABD7">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62DE8D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41AC23A">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B6AA7D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E62253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30486E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4DF56A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46CF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9BE2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D31FB68">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093A947">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650D0E7">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2165B8A">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4C22E7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6A4271F">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156DFA9">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DE026AF">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170C429">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1C05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6CB8">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42AFB14">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B86964F">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023120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D0E87BC">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C62ACB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9AA7956">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86ABF66">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5669970">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83FDEC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691B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F57623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DD8B8D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9DEF35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195FF5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92295D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A03EE9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63D098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780F8B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C1A039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A3D083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2342C42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5E4F33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1611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2231FA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70C933C">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05076C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7C31BD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7D3B67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16A2B5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1A80BA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4E6CF8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E9C4DB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F4F3DA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C3DAA6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BE7E5F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860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3119BD9">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786D7FA">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18A358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E4A277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C9A11C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8256F7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068B27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93F0D1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3C856E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7733AA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7757933">
      <w:pPr>
        <w:keepNext w:val="0"/>
        <w:keepLines w:val="0"/>
        <w:pageBreakBefore w:val="0"/>
        <w:numPr>
          <w:ilvl w:val="0"/>
          <w:numId w:val="0"/>
        </w:numPr>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备注：本表反映部门本年度国有资本经营预算财政拨款支出情况。本部门无国有资本经营收支，故本表无数据。</w:t>
      </w:r>
      <w:r>
        <w:rPr>
          <w:rFonts w:hint="default" w:ascii="Times New Roman" w:hAnsi="Times New Roman" w:eastAsia="宋体" w:cs="Times New Roman"/>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BFF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3AB81515">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5D22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00AEB4F4">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巫溪县红池坝景区管委会（本级）</w:t>
            </w:r>
          </w:p>
        </w:tc>
        <w:tc>
          <w:tcPr>
            <w:tcW w:w="4284" w:type="dxa"/>
            <w:tcBorders>
              <w:top w:val="nil"/>
              <w:left w:val="nil"/>
              <w:bottom w:val="nil"/>
              <w:right w:val="nil"/>
            </w:tcBorders>
            <w:shd w:val="clear" w:color="auto" w:fill="auto"/>
            <w:vAlign w:val="bottom"/>
          </w:tcPr>
          <w:p w14:paraId="6376E454">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7FF0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130DB933">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bottom"/>
          </w:tcPr>
          <w:p w14:paraId="5C420610">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09E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A58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41279C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C17408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68C1716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7C74958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2ECFA5B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406B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B4702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00C23F1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3E2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12EBBA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866FBB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F1C4B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7.55 </w:t>
            </w:r>
          </w:p>
        </w:tc>
      </w:tr>
      <w:tr w14:paraId="2F44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30CD6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0F9ECC5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196F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 </w:t>
            </w:r>
          </w:p>
        </w:tc>
        <w:tc>
          <w:tcPr>
            <w:tcW w:w="5317" w:type="dxa"/>
            <w:tcBorders>
              <w:top w:val="nil"/>
              <w:left w:val="nil"/>
              <w:bottom w:val="single" w:color="000000" w:sz="4" w:space="0"/>
              <w:right w:val="single" w:color="000000" w:sz="4" w:space="0"/>
            </w:tcBorders>
            <w:shd w:val="clear" w:color="auto" w:fill="auto"/>
            <w:vAlign w:val="center"/>
          </w:tcPr>
          <w:p w14:paraId="1B3DA49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28323EF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CC4B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7.55 </w:t>
            </w:r>
          </w:p>
        </w:tc>
      </w:tr>
      <w:tr w14:paraId="7DB0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7F73D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4612F34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E38CA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E78D65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55DE86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BFC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69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D5BE1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C93BD5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18610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 </w:t>
            </w:r>
          </w:p>
        </w:tc>
        <w:tc>
          <w:tcPr>
            <w:tcW w:w="5317" w:type="dxa"/>
            <w:tcBorders>
              <w:top w:val="nil"/>
              <w:left w:val="nil"/>
              <w:bottom w:val="single" w:color="000000" w:sz="4" w:space="0"/>
              <w:right w:val="single" w:color="000000" w:sz="4" w:space="0"/>
            </w:tcBorders>
            <w:shd w:val="clear" w:color="auto" w:fill="auto"/>
            <w:vAlign w:val="center"/>
          </w:tcPr>
          <w:p w14:paraId="3CC0669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109065D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7F8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F73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AF1AB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980B0C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1B7DD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3C5FD3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52A3F7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0373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4AEF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B010B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C0CCA5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7A6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 </w:t>
            </w:r>
          </w:p>
        </w:tc>
        <w:tc>
          <w:tcPr>
            <w:tcW w:w="5317" w:type="dxa"/>
            <w:tcBorders>
              <w:top w:val="nil"/>
              <w:left w:val="nil"/>
              <w:bottom w:val="single" w:color="000000" w:sz="4" w:space="0"/>
              <w:right w:val="single" w:color="000000" w:sz="4" w:space="0"/>
            </w:tcBorders>
            <w:shd w:val="clear" w:color="auto" w:fill="auto"/>
            <w:vAlign w:val="center"/>
          </w:tcPr>
          <w:p w14:paraId="5D51B7F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050E1C1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DC56A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EE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C040D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68F7383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9E0A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A939D1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72601C1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1A6B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ED0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43336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107033D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E7EB5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85DC9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74A60E8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F2D1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74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E0F3A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365A305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178F7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226F28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3ECDE10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24E91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5BC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4D8F3F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47E332B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7105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24F2BF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1EE6D0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3E01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02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0482F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4EEBBDE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15E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5314B3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61F24D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D4780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2F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F41CC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75C3412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6C77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8117BE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BF23EA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55AD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E7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38FD5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4188718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B6B92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209553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09220AB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77D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B4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EC724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2750326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0B2E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130F22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5586E0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DF214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33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E0D6D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3248C67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7D488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0DD8DC4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2F09DF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25E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89C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D309C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23D7F12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59A03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249208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633B457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0056B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CCE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34080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55C462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AE53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3C1C9C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855A1F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E6106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D0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ECDEB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7BDF54C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45F66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70C6C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6AA50CA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B3B9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E2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9DA3B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743BB2C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8AD32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B58138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1FD8D27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C610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3B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6D765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120BE62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21B3A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6F256A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5573C9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B0A7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9E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0A5A4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40FDCDE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98BA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10B6C9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D2C2C4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7C87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30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17FB6C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3CCDBDD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4C67D8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1675850D">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556DB67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C9FB42">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eastAsia="宋体" w:cs="Times New Roman"/>
                <w:i w:val="0"/>
                <w:iCs w:val="0"/>
                <w:color w:val="000000"/>
                <w:sz w:val="20"/>
                <w:szCs w:val="20"/>
                <w:u w:val="none"/>
              </w:rPr>
            </w:pPr>
          </w:p>
        </w:tc>
      </w:tr>
      <w:tr w14:paraId="4F68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5E4A34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2B430E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4C6C7B1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EC05C5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F6C613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C40011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eastAsia="宋体" w:cs="Times New Roman"/>
                <w:i w:val="0"/>
                <w:iCs w:val="0"/>
                <w:color w:val="000000"/>
                <w:sz w:val="20"/>
                <w:szCs w:val="20"/>
                <w:u w:val="none"/>
              </w:rPr>
            </w:pPr>
          </w:p>
        </w:tc>
      </w:tr>
      <w:tr w14:paraId="422D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4A62D5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2A660D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00A92F4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1.32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44C659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8A69E5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AD1C62F">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eastAsia="宋体" w:cs="Times New Roman"/>
                <w:i w:val="0"/>
                <w:iCs w:val="0"/>
                <w:color w:val="000000"/>
                <w:sz w:val="20"/>
                <w:szCs w:val="20"/>
                <w:u w:val="none"/>
              </w:rPr>
            </w:pPr>
          </w:p>
        </w:tc>
      </w:tr>
    </w:tbl>
    <w:p w14:paraId="4852F242">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p>
    <w:p w14:paraId="0BE97E30">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2AA0E5B6">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1711C3D6">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bookmarkStart w:id="0" w:name="_GoBack"/>
      <w:bookmarkEnd w:id="0"/>
    </w:p>
    <w:p w14:paraId="0433314C">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04F0EAE4">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3BEA312A">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3AEE0457">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593A7E64">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31D1E329">
      <w:pPr>
        <w:pStyle w:val="9"/>
        <w:keepNext w:val="0"/>
        <w:keepLines w:val="0"/>
        <w:pageBreakBefore w:val="0"/>
        <w:kinsoku/>
        <w:overflowPunct/>
        <w:topLinePunct w:val="0"/>
        <w:autoSpaceDE w:val="0"/>
        <w:autoSpaceDN/>
        <w:bidi w:val="0"/>
        <w:adjustRightInd/>
        <w:spacing w:beforeAutospacing="0" w:afterAutospacing="0" w:line="600" w:lineRule="exact"/>
        <w:ind w:firstLine="0" w:firstLineChars="0"/>
        <w:rPr>
          <w:rFonts w:hint="default" w:ascii="Times New Roman" w:hAnsi="Times New Roman" w:eastAsia="宋体" w:cs="Times New Roman"/>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5CC57">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1ED0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B1ED0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BD7A3">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281EC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E281EC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BFD8B7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BFD8B75">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909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25A20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625A20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E38D86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E38D86D">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A927">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1011B">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56DFB"/>
    <w:multiLevelType w:val="singleLevel"/>
    <w:tmpl w:val="CFF56DFB"/>
    <w:lvl w:ilvl="0" w:tentative="0">
      <w:start w:val="4"/>
      <w:numFmt w:val="chineseCounting"/>
      <w:suff w:val="nothing"/>
      <w:lvlText w:val="%1、"/>
      <w:lvlJc w:val="left"/>
      <w:rPr>
        <w:rFonts w:hint="eastAsia"/>
      </w:rPr>
    </w:lvl>
  </w:abstractNum>
  <w:abstractNum w:abstractNumId="1">
    <w:nsid w:val="39B466F8"/>
    <w:multiLevelType w:val="singleLevel"/>
    <w:tmpl w:val="39B466F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724869"/>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8B2166"/>
    <w:rsid w:val="0DB50EFE"/>
    <w:rsid w:val="0DDA54E4"/>
    <w:rsid w:val="0E3A5F83"/>
    <w:rsid w:val="0E40330D"/>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8C52BC1"/>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023801"/>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5603517"/>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2C2148"/>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87769E"/>
    <w:rsid w:val="692172FD"/>
    <w:rsid w:val="6A3829EE"/>
    <w:rsid w:val="6B474EF5"/>
    <w:rsid w:val="6C560CAE"/>
    <w:rsid w:val="6D0615E4"/>
    <w:rsid w:val="6D903FF5"/>
    <w:rsid w:val="6DA955B8"/>
    <w:rsid w:val="6DE346AB"/>
    <w:rsid w:val="6E1F5F86"/>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6785</Words>
  <Characters>7840</Characters>
  <Lines>161</Lines>
  <Paragraphs>45</Paragraphs>
  <TotalTime>0</TotalTime>
  <ScaleCrop>false</ScaleCrop>
  <LinksUpToDate>false</LinksUpToDate>
  <CharactersWithSpaces>7991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周公</cp:lastModifiedBy>
  <dcterms:modified xsi:type="dcterms:W3CDTF">2025-09-16T03:10:03Z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eyJoZGlkIjoiNTZmZGViYWRiMDg2YzNiYzM2ZjliYWNmNDU4NDA1YzIiLCJ1c2VySWQiOiI0NTA1MjIyNjAifQ==</vt:lpwstr>
  </property>
</Properties>
</file>