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中国共产党巫溪县纪律检查委员会</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巫溪县监察委员会（本级）</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一、单位基本情况</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楷体" w:cs="方正仿宋_GBK"/>
          <w:sz w:val="32"/>
          <w:szCs w:val="32"/>
          <w:lang w:eastAsia="zh-CN"/>
        </w:rPr>
      </w:pPr>
      <w:r>
        <w:rPr>
          <w:rStyle w:val="10"/>
          <w:rFonts w:hint="eastAsia" w:ascii="方正楷体_GBK" w:hAnsi="方正楷体_GBK" w:eastAsia="方正楷体_GBK" w:cs="方正楷体_GBK"/>
          <w:b w:val="0"/>
          <w:bCs/>
          <w:sz w:val="32"/>
          <w:szCs w:val="32"/>
          <w:shd w:val="clear" w:color="auto" w:fill="FFFFFF"/>
        </w:rPr>
        <w:t>（一）职能职责</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中国共产党巫溪县纪律检查委员会的主要任务是：维护党的章程和其他党内法规，检查党的路线、方针、政策和决议的执行情况，协助同级党的委员会推进全面从严治党、加强党风建设和组织协调反腐败工作。履行监督、执纪、问责职责。巫溪县监察委员会依照宪法、监察法和有关法律规定履行监督、调查、处置职责。县纪委、县监委合署办公，履行纪检、监察两项职责，实行一套工作机构、两个机关名称。</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目前，县纪委监委机关设</w:t>
      </w:r>
      <w:r>
        <w:rPr>
          <w:rFonts w:hint="default" w:ascii="Times New Roman" w:hAnsi="Times New Roman" w:eastAsia="方正仿宋_GBK" w:cs="Times New Roman"/>
          <w:color w:val="000000"/>
          <w:kern w:val="0"/>
          <w:sz w:val="32"/>
          <w:szCs w:val="32"/>
          <w:shd w:val="clear" w:color="auto" w:fill="FFFFFF"/>
        </w:rPr>
        <w:t>1</w:t>
      </w:r>
      <w:r>
        <w:rPr>
          <w:rFonts w:hint="eastAsia" w:ascii="Times New Roman" w:hAnsi="Times New Roman" w:eastAsia="方正仿宋_GBK" w:cs="Times New Roman"/>
          <w:color w:val="000000"/>
          <w:kern w:val="0"/>
          <w:sz w:val="32"/>
          <w:szCs w:val="32"/>
          <w:shd w:val="clear" w:color="auto" w:fill="FFFFFF"/>
          <w:lang w:val="en-US" w:eastAsia="zh-CN"/>
        </w:rPr>
        <w:t>6</w:t>
      </w:r>
      <w:r>
        <w:rPr>
          <w:rFonts w:hint="eastAsia" w:ascii="方正仿宋_GBK" w:hAnsi="方正仿宋_GBK" w:eastAsia="方正仿宋_GBK" w:cs="方正仿宋_GBK"/>
          <w:color w:val="000000"/>
          <w:kern w:val="0"/>
          <w:sz w:val="32"/>
          <w:szCs w:val="32"/>
          <w:shd w:val="clear" w:color="auto" w:fill="FFFFFF"/>
        </w:rPr>
        <w:t>个内设职能部门，分别是办公室（信息技术保障室）、组织部、宣传部（研究室）、党风政风监督室、信访室、案件监督管理室（案件指导室）、第一</w:t>
      </w:r>
      <w:r>
        <w:rPr>
          <w:rFonts w:hint="eastAsia" w:ascii="方正仿宋_GBK" w:hAnsi="方正仿宋_GBK" w:eastAsia="方正仿宋_GBK" w:cs="方正仿宋_GBK"/>
          <w:color w:val="000000"/>
          <w:kern w:val="0"/>
          <w:sz w:val="32"/>
          <w:szCs w:val="32"/>
          <w:shd w:val="clear" w:color="auto" w:fill="FFFFFF"/>
          <w:lang w:eastAsia="zh-CN"/>
        </w:rPr>
        <w:t>纪检监察</w:t>
      </w:r>
      <w:r>
        <w:rPr>
          <w:rFonts w:hint="eastAsia" w:ascii="方正仿宋_GBK" w:hAnsi="方正仿宋_GBK" w:eastAsia="方正仿宋_GBK" w:cs="方正仿宋_GBK"/>
          <w:color w:val="000000"/>
          <w:kern w:val="0"/>
          <w:sz w:val="32"/>
          <w:szCs w:val="32"/>
          <w:shd w:val="clear" w:color="auto" w:fill="FFFFFF"/>
        </w:rPr>
        <w:t>室、第</w:t>
      </w:r>
      <w:r>
        <w:rPr>
          <w:rFonts w:hint="eastAsia" w:ascii="方正仿宋_GBK" w:hAnsi="方正仿宋_GBK" w:eastAsia="方正仿宋_GBK" w:cs="方正仿宋_GBK"/>
          <w:color w:val="000000"/>
          <w:kern w:val="0"/>
          <w:sz w:val="32"/>
          <w:szCs w:val="32"/>
          <w:shd w:val="clear" w:color="auto" w:fill="FFFFFF"/>
          <w:lang w:eastAsia="zh-CN"/>
        </w:rPr>
        <w:t>二纪检监察</w:t>
      </w:r>
      <w:r>
        <w:rPr>
          <w:rFonts w:hint="eastAsia" w:ascii="方正仿宋_GBK" w:hAnsi="方正仿宋_GBK" w:eastAsia="方正仿宋_GBK" w:cs="方正仿宋_GBK"/>
          <w:color w:val="000000"/>
          <w:kern w:val="0"/>
          <w:sz w:val="32"/>
          <w:szCs w:val="32"/>
          <w:shd w:val="clear" w:color="auto" w:fill="FFFFFF"/>
        </w:rPr>
        <w:t>室、第三</w:t>
      </w:r>
      <w:r>
        <w:rPr>
          <w:rFonts w:hint="eastAsia" w:ascii="方正仿宋_GBK" w:hAnsi="方正仿宋_GBK" w:eastAsia="方正仿宋_GBK" w:cs="方正仿宋_GBK"/>
          <w:color w:val="000000"/>
          <w:kern w:val="0"/>
          <w:sz w:val="32"/>
          <w:szCs w:val="32"/>
          <w:shd w:val="clear" w:color="auto" w:fill="FFFFFF"/>
          <w:lang w:eastAsia="zh-CN"/>
        </w:rPr>
        <w:t>纪检监察</w:t>
      </w:r>
      <w:r>
        <w:rPr>
          <w:rFonts w:hint="eastAsia" w:ascii="方正仿宋_GBK" w:hAnsi="方正仿宋_GBK" w:eastAsia="方正仿宋_GBK" w:cs="方正仿宋_GBK"/>
          <w:color w:val="000000"/>
          <w:kern w:val="0"/>
          <w:sz w:val="32"/>
          <w:szCs w:val="32"/>
          <w:shd w:val="clear" w:color="auto" w:fill="FFFFFF"/>
        </w:rPr>
        <w:t>室、第四</w:t>
      </w:r>
      <w:r>
        <w:rPr>
          <w:rFonts w:hint="eastAsia" w:ascii="方正仿宋_GBK" w:hAnsi="方正仿宋_GBK" w:eastAsia="方正仿宋_GBK" w:cs="方正仿宋_GBK"/>
          <w:color w:val="000000"/>
          <w:kern w:val="0"/>
          <w:sz w:val="32"/>
          <w:szCs w:val="32"/>
          <w:shd w:val="clear" w:color="auto" w:fill="FFFFFF"/>
          <w:lang w:eastAsia="zh-CN"/>
        </w:rPr>
        <w:t>纪检监察</w:t>
      </w:r>
      <w:r>
        <w:rPr>
          <w:rFonts w:hint="eastAsia" w:ascii="方正仿宋_GBK" w:hAnsi="方正仿宋_GBK" w:eastAsia="方正仿宋_GBK" w:cs="方正仿宋_GBK"/>
          <w:color w:val="000000"/>
          <w:kern w:val="0"/>
          <w:sz w:val="32"/>
          <w:szCs w:val="32"/>
          <w:shd w:val="clear" w:color="auto" w:fill="FFFFFF"/>
        </w:rPr>
        <w:t>室、第五</w:t>
      </w:r>
      <w:r>
        <w:rPr>
          <w:rFonts w:hint="eastAsia" w:ascii="方正仿宋_GBK" w:hAnsi="方正仿宋_GBK" w:eastAsia="方正仿宋_GBK" w:cs="方正仿宋_GBK"/>
          <w:color w:val="000000"/>
          <w:kern w:val="0"/>
          <w:sz w:val="32"/>
          <w:szCs w:val="32"/>
          <w:shd w:val="clear" w:color="auto" w:fill="FFFFFF"/>
          <w:lang w:eastAsia="zh-CN"/>
        </w:rPr>
        <w:t>纪检监察</w:t>
      </w:r>
      <w:r>
        <w:rPr>
          <w:rFonts w:hint="eastAsia" w:ascii="方正仿宋_GBK" w:hAnsi="方正仿宋_GBK" w:eastAsia="方正仿宋_GBK" w:cs="方正仿宋_GBK"/>
          <w:color w:val="000000"/>
          <w:kern w:val="0"/>
          <w:sz w:val="32"/>
          <w:szCs w:val="32"/>
          <w:shd w:val="clear" w:color="auto" w:fill="FFFFFF"/>
        </w:rPr>
        <w:t>室、第六</w:t>
      </w:r>
      <w:r>
        <w:rPr>
          <w:rFonts w:hint="eastAsia" w:ascii="方正仿宋_GBK" w:hAnsi="方正仿宋_GBK" w:eastAsia="方正仿宋_GBK" w:cs="方正仿宋_GBK"/>
          <w:color w:val="000000"/>
          <w:kern w:val="0"/>
          <w:sz w:val="32"/>
          <w:szCs w:val="32"/>
          <w:shd w:val="clear" w:color="auto" w:fill="FFFFFF"/>
          <w:lang w:eastAsia="zh-CN"/>
        </w:rPr>
        <w:t>纪检监察</w:t>
      </w:r>
      <w:r>
        <w:rPr>
          <w:rFonts w:hint="eastAsia" w:ascii="方正仿宋_GBK" w:hAnsi="方正仿宋_GBK" w:eastAsia="方正仿宋_GBK" w:cs="方正仿宋_GBK"/>
          <w:color w:val="000000"/>
          <w:kern w:val="0"/>
          <w:sz w:val="32"/>
          <w:szCs w:val="32"/>
          <w:shd w:val="clear" w:color="auto" w:fill="FFFFFF"/>
        </w:rPr>
        <w:t>室、</w:t>
      </w:r>
      <w:r>
        <w:rPr>
          <w:rFonts w:hint="eastAsia" w:ascii="方正仿宋_GBK" w:hAnsi="方正仿宋_GBK" w:eastAsia="方正仿宋_GBK" w:cs="方正仿宋_GBK"/>
          <w:color w:val="000000"/>
          <w:kern w:val="0"/>
          <w:sz w:val="32"/>
          <w:szCs w:val="32"/>
          <w:shd w:val="clear" w:color="auto" w:fill="FFFFFF"/>
          <w:lang w:eastAsia="zh-CN"/>
        </w:rPr>
        <w:t>第七纪检监察室、第八纪检监察室、</w:t>
      </w:r>
      <w:r>
        <w:rPr>
          <w:rFonts w:hint="eastAsia" w:ascii="方正仿宋_GBK" w:hAnsi="方正仿宋_GBK" w:eastAsia="方正仿宋_GBK" w:cs="方正仿宋_GBK"/>
          <w:color w:val="000000"/>
          <w:kern w:val="0"/>
          <w:sz w:val="32"/>
          <w:szCs w:val="32"/>
          <w:shd w:val="clear" w:color="auto" w:fill="FFFFFF"/>
        </w:rPr>
        <w:t>案件审理室（法规室）、纪检监察干部监督室。</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县纪委监委向县一级党和国家机关派驻</w:t>
      </w:r>
      <w:r>
        <w:rPr>
          <w:rFonts w:hint="eastAsia" w:ascii="Times New Roman" w:hAnsi="Times New Roman" w:eastAsia="方正仿宋_GBK" w:cs="Times New Roman"/>
          <w:color w:val="000000"/>
          <w:kern w:val="0"/>
          <w:sz w:val="32"/>
          <w:szCs w:val="32"/>
          <w:shd w:val="clear" w:color="auto" w:fill="FFFFFF"/>
          <w:lang w:val="en-US" w:eastAsia="zh-CN"/>
        </w:rPr>
        <w:t>8</w:t>
      </w:r>
      <w:r>
        <w:rPr>
          <w:rFonts w:hint="eastAsia" w:ascii="方正仿宋_GBK" w:hAnsi="方正仿宋_GBK" w:eastAsia="方正仿宋_GBK" w:cs="方正仿宋_GBK"/>
          <w:color w:val="000000"/>
          <w:kern w:val="0"/>
          <w:sz w:val="32"/>
          <w:szCs w:val="32"/>
          <w:shd w:val="clear" w:color="auto" w:fill="FFFFFF"/>
        </w:rPr>
        <w:t>个纪检监察组，分别是驻县委办公室纪检监察组、驻县发展和改革委员会纪检监察组、驻县教育委员会纪检监察组、驻县公安局纪检监察组、驻县住房和城乡建设委员会纪检监察组、驻县农业农村委员会纪检监察组、驻县卫生健康委员会纪检监察组、驻县财政局纪检监察组。</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县监委向乡镇（街道）派出</w:t>
      </w:r>
      <w:r>
        <w:rPr>
          <w:rFonts w:hint="default" w:ascii="Times New Roman" w:hAnsi="Times New Roman" w:eastAsia="方正仿宋_GBK" w:cs="Times New Roman"/>
          <w:color w:val="000000"/>
          <w:kern w:val="0"/>
          <w:sz w:val="32"/>
          <w:szCs w:val="32"/>
          <w:shd w:val="clear" w:color="auto" w:fill="FFFFFF"/>
        </w:rPr>
        <w:t>8</w:t>
      </w:r>
      <w:r>
        <w:rPr>
          <w:rFonts w:hint="eastAsia" w:ascii="方正仿宋_GBK" w:hAnsi="方正仿宋_GBK" w:eastAsia="方正仿宋_GBK" w:cs="方正仿宋_GBK"/>
          <w:color w:val="000000"/>
          <w:kern w:val="0"/>
          <w:sz w:val="32"/>
          <w:szCs w:val="32"/>
          <w:shd w:val="clear" w:color="auto" w:fill="FFFFFF"/>
        </w:rPr>
        <w:t>个监察室，分别是派出第一至第八监察室。</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县委巡察办公室为县委工作机关，其经费目前列入县纪委监委预算。</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二、单位决算收支情况说明</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度收入总计3428.76万元，支出总计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3428.76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万元。收、支与2023年度相比，增加267.57万元，增长8.5%，主要原因是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本年度人员增加，开展集中整治专项工作任务重，派驻纪检组改革集中办公需求大，办公等支出加大。</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2.收入情况。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度收入合计3428.76万元，与2023年度相比，增加267.57万元，增长8.5%，主要原因是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本年度人员变动，增加</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4人，开展集中整治专项工作任务，</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派驻纪检组改革集中办公需求大，办公等支出加大。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其中：财政拨款收入3428.76万元，占100.00%；事业收入0.00万元，占0.00%；经营收入0.00万元，占0.00%；其他收入0.00万元，占0.00%。此外，使用非财政拨款结余和专用结余0.00万元，年初结转和结余0.00万元。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2024年度支出合计3428.76万元，与2023年度相比，增加267.57万元，增长8.5%，主要原因是本年度人员变动，增加</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4人，开展集中整治专项工作任务，</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派驻纪检组改革集中办公需求大，办公等支出加大。其中：基本支出2384.85万元，占69.55%；项目支出1043.91万元，占30.45%；经营支出0.00万元，占0.00%。此外，结余分配0.00万元。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4.结转结余情况。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2024年度年末结转和结余0.00万元，与2023年度相比，无增减，主要原因是本年度收入已支付完成。</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2024年度财政拨款收、支总计3428.76万元。与202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年相比，财政拨款收、支总计各增加267.57万元，增长8.5%。主要原因是本年度人员增加，开展集中整治专项工作任务重，派驻纪检组改革集中办公，办公等支出加大。</w:t>
      </w:r>
    </w:p>
    <w:p>
      <w:pPr>
        <w:pStyle w:val="7"/>
        <w:keepNext w:val="0"/>
        <w:keepLines w:val="0"/>
        <w:pageBreakBefore w:val="0"/>
        <w:widowControl/>
        <w:shd w:val="clear" w:color="auto" w:fill="FFFFFF"/>
        <w:tabs>
          <w:tab w:val="center" w:pos="4427"/>
        </w:tabs>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1.收入情况。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一般公共预算财政拨款收入3428.76万元，与2023年度相比，增加267.57万元，增长8.5%。主要原因是本年度人员增加，开展集中整治专项工作任务重，派驻纪检组改革集中办公，办公等需求加大。较年初预算数增加360.71万元，增长11.8%。主要原因是市级下达了纪检监察补助资金，开展集中整治专项工作任务重，派驻纪检组改革集中办公，办公等需求加大。此外，年初财政拨款结转和结余0.00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2.支出情况。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一般公共预算财政拨款支出3428.76万元，与2023年度相比，增加267.57万元，增长8.5%。主要原因是本年度人员增加，开展集中整治专项工作任务重，派驻纪检组改革集中办公，办公等支出加大。较年初预算数增加360.71万元，增长11.8%。主要原因是市级下达了纪检监察补助资金，开展集中整治专项工作任务重，派驻纪检组改革集中办公需求大，办公等支出加大。</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3.结转结余情况。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2024年度年末一般公共预算财政拨款结转和结余0.00万元，与2023年度相比，无增减，主要原因是本年度收入已支付完成。</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0"/>
          <w:rFonts w:ascii="方正仿宋_GBK" w:hAnsi="方正仿宋_GBK" w:eastAsia="方正仿宋_GBK" w:cs="方正仿宋_GBK"/>
          <w:sz w:val="32"/>
          <w:szCs w:val="32"/>
          <w:shd w:val="clear" w:color="auto" w:fill="FFFFFF"/>
        </w:rPr>
        <w:t>4.比较情况。</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本单位2024年度一般公共预算财政拨款支出主要用于以下几个方面：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一般公共服务支出2806.63万元，占81.86%，较年初预算数增加353.82万元，增长14.4%，主要原因是市级下达了纪检监察补助资金，本年度增加</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4人，开展集中整治专项工作，派驻纪检组改革，致办公、办案等支出加大</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（2）</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社会保障与就业支出328.12万元，占9.57%，较年初预算数增加4.70万元，增长1.5%，主要原因是本年度人员相较预算数增加</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4人，故增加相应的社保经费支出</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（3）</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卫生健康支出125.15万元，占3.65%，较年初预算数增加0.36万元，增长0.3%，主要原因是人员增加，医疗费用支出增加。</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ascii="方正仿宋_GBK" w:hAnsi="方正仿宋_GBK" w:eastAsia="方正仿宋_GBK" w:cs="方正仿宋_GBK"/>
          <w:sz w:val="32"/>
          <w:szCs w:val="32"/>
          <w:shd w:val="clear" w:color="auto" w:fill="FFFFFF"/>
        </w:rPr>
        <w:t>（4）</w:t>
      </w:r>
      <w:r>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住房保障支出168.87万元，占4.93%，较年初预算数增加1.84万元，增长1.1%，主要原因是本年度人员较预算数增加4人，故增加了相应的住房保障费用支出。</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2024年度一般公共财政拨款基本支出2384.85万元。其中：人员经费2070.73万元，与2023年度相比，减少30.74万元，下降1.5%，主要原因是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2024年将所属事业单位人员单独核算和分别支出。</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人员经费用途主要包括用于保障在职人员工资福利及社会保险缴费，离休人员离休费，退休人员补助等。公用经费314.12万元，与2023年度相比，减少295.63万元，下降48.5%，主要原因是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2024年度将所属事业单位的公用经费单独支出，同时执行过“紧日子”要求，压减公用经费支出。</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公用经费用途主要包括办公费，保障部门正常运转的各项商品服务支出。</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本单位2024年度无政府性基金预算财政拨款收支。</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本单位2024年度无国有资本经营预算财政拨款支出。</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三、财政拨款“三公”经费情况说明</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三公”经费支出共计23.76万元，较年初预算数减少47.24万元，下降66.5%，主要原因是严格执行过“紧日子”要求，公务接待费及公务用车运行维护费实际支出比预算数减少。较上年支出数减少30.94万元，下降56.6%，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2024年度无公务用车购置费，故支出数减少</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2024年度本单位因公出国（境）费用0.00万元，主要原因是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2024年度无因公出国费用支出。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公务车购置费0.00万元，主要原因是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2024年度无公务车购置费支出。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运行维护费20.93万元，主要用于保障公务用车的燃油费、维修费、过路费等。费用支出较年初预算数减少45.07万元，下降68.3%，主要原因是执行过“紧日子”要求，压减公务用车运行维护费，且年初预算将项目经费中留置办案费部分列入到公务车运行维护费，实际支出时调整。较上年支出数减少7.01万元，下降25.1%，主要原因是严格执行过“紧日子”要求，压减公务用车维护费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接待费2.83万元，主要用于接待各区县工作对接及上级检查工作接待费用。费用支出较年初预算数减少2.17万元，下降43.4%，主要原因是严格执行过“紧日子”要求，压减公务接待支出。较上年支出数增加0.04万元，增长1.4%，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区县工作对接及上级单位工作检查较上年增加，故公务接待支出增加。</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本单位因公出国（境）共计0个团组，0人；公务用车购置0辆，公务车保有量为7辆；国内公务接待23批次206人，其中：国内外事接待0批次，0人；国（境）外公务接待0批次，0人。2024年本单位人均接待费137.28元，车均购置费0万元，车均维护费2.99万元。</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四、其他需要说明的事项</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本年度会议费支出8.30万元，与2023年度相比，增加1.94万元，增长30.5%，主要原因是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本年度集中整治等重点工作任务重，会议需求增加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。本年度培训费支出1.06万元，与2023年度相比，增加0.42万元，增长65.6%，主要原因是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本年度派出培训和学习的人员增加，培训需求增加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本单位机关运行经费支出314.12万元，机关运行经费主要用于开支办公费、印刷费、水费、电费、差旅费、劳务费、公务用车运行费、其他交通费、其他商品和服务支出。机关运行经费较上年支出数减少295.63万元，下降48.5%，主要原因是严格执行过“紧日子”要求，且机关运行经费中事业单位的办公开支独立核算，故较上年支出减少。</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截至2024年12月31日，本单位共有车辆7辆，其中，副部（省）级及以上领导用车0辆、主要负责人用车0辆、机要通信用车1辆、应急保障用车1辆、执法执勤用车5辆，特种专业技术用车0辆，离退休干部用车0辆。单价100万元（含）以上专用设备0台（套）。</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度本单位政府采购支出总额50.13万元，其中：政府采购货物支出50.13万元、政府采购工程支出0.00万元、政府采购服务支出0.00万元。授予中小企业合同金额34.37万元，占政府采购支出总额的68.55%，其中：授予小微企业合同金额34.37万元，占政府采购支出总额的68.55 %。主要用于采购办公电脑、办公桌椅和会议桌椅。</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五、2024年度预算绩效管理情况说明</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t>根据预算绩效管理要求，我单位对部门整体和12个二级项目开展了绩效自评，涉及财政拨款项目支出资金1043.91万元。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附后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附后</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我部门对报刊征订专项支出开展了绩效评价，涉及财政拨款项目资金40万元，评价得分100分，评价等次为优，绩效评价没有发现问题。</w:t>
      </w:r>
    </w:p>
    <w:p>
      <w:pPr>
        <w:pStyle w:val="7"/>
        <w:keepNext w:val="0"/>
        <w:keepLines w:val="0"/>
        <w:pageBreakBefore w:val="0"/>
        <w:widowControl/>
        <w:shd w:val="clear" w:color="auto" w:fill="FFFFFF"/>
        <w:tabs>
          <w:tab w:val="center" w:pos="4427"/>
        </w:tabs>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县财政局未委托第三方对我部门开展绩效评价。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六</w:t>
      </w:r>
      <w:r>
        <w:rPr>
          <w:rStyle w:val="10"/>
          <w:rFonts w:hint="eastAsia" w:ascii="方正黑体_GBK" w:hAnsi="方正黑体_GBK" w:eastAsia="方正黑体_GBK" w:cs="方正黑体_GBK"/>
          <w:sz w:val="32"/>
          <w:szCs w:val="32"/>
          <w:shd w:val="clear" w:color="auto" w:fill="FFFFFF"/>
          <w:lang w:val="en-US" w:eastAsia="zh-CN" w:bidi="ar-SA"/>
        </w:rPr>
        <w:t>、专业名词解释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10"/>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eastAsia="zh-CN"/>
        </w:rPr>
        <w:t>梁焱</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023-</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51522516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中国共产党巫溪县纪律检查委员会巫溪县监察委员会（本级）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3,428.76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3,428.76</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中国共产党巫溪县纪律检查委员会巫溪县监察委员会（本级）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3,428.76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3,428.76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纪检监察事务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大案要案查处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巡视工作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其他纪检监察事务支出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中国共产党巫溪县纪律检查委员会巫溪县监察委员会（本级）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3,428.76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2,384.85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1,043.91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纪检监察事务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大案要案查处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巡视工作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其他纪检监察事务支出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中国共产党巫溪县纪律检查委员会巫溪县监察委员会（本级）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2,806.63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2,806.63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328.12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328.12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3,428.76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中国共产党巫溪县纪律检查委员会巫溪县监察委员会（本级）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3,428.76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2,384.85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3,428.76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2,384.85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2,806.63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2,806.63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纪检监察事务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2,806.63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2,806.63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大案要案查处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巡视工作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其他纪检监察事务支出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中国共产党巫溪县纪律检查委员会巫溪县监察委员会（本级）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2,044.26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308.98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566.01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2,070.73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314.12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中国共产党巫溪县纪律检查委员会巫溪县监察委员会（本级）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eastAsia="zh-CN"/>
        </w:rPr>
        <w:t>注：本年无政府性基金预算收支，故本表无数据。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中国共产党巫溪县纪律检查委员会巫溪县监察委员会（本级）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注：本年无国有资本经营预算收支，故本表无数据。</w:t>
      </w:r>
      <w:bookmarkStart w:id="0" w:name="_GoBack"/>
      <w:bookmarkEnd w:id="0"/>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中国共产党巫溪县纪律检查委员会巫溪县监察委员会（本级）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8.30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65.21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tbl>
      <w:tblPr>
        <w:tblW w:w="22350" w:type="dxa"/>
        <w:tblInd w:w="0" w:type="dxa"/>
        <w:shd w:val="clear"/>
        <w:tblLayout w:type="fixed"/>
        <w:tblCellMar>
          <w:top w:w="0" w:type="dxa"/>
          <w:left w:w="0" w:type="dxa"/>
          <w:bottom w:w="0" w:type="dxa"/>
          <w:right w:w="0" w:type="dxa"/>
        </w:tblCellMar>
      </w:tblPr>
      <w:tblGrid>
        <w:gridCol w:w="4433"/>
        <w:gridCol w:w="3254"/>
        <w:gridCol w:w="3254"/>
        <w:gridCol w:w="1653"/>
        <w:gridCol w:w="1135"/>
        <w:gridCol w:w="1460"/>
        <w:gridCol w:w="1467"/>
        <w:gridCol w:w="1460"/>
        <w:gridCol w:w="1137"/>
        <w:gridCol w:w="1686"/>
        <w:gridCol w:w="1411"/>
      </w:tblGrid>
      <w:tr>
        <w:tblPrEx>
          <w:shd w:val="clear"/>
          <w:tblLayout w:type="fixed"/>
          <w:tblCellMar>
            <w:top w:w="0" w:type="dxa"/>
            <w:left w:w="0" w:type="dxa"/>
            <w:bottom w:w="0" w:type="dxa"/>
            <w:right w:w="0" w:type="dxa"/>
          </w:tblCellMar>
        </w:tblPrEx>
        <w:trPr>
          <w:trHeight w:val="8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bdr w:val="none" w:color="auto" w:sz="0" w:space="0"/>
                <w:lang w:val="en-US" w:eastAsia="zh-CN" w:bidi="ar"/>
              </w:rPr>
              <w:t>2024年度部门整体绩效自评表</w:t>
            </w:r>
          </w:p>
        </w:tc>
      </w:tr>
      <w:tr>
        <w:tblPrEx>
          <w:tblLayout w:type="fixed"/>
          <w:tblCellMar>
            <w:top w:w="0" w:type="dxa"/>
            <w:left w:w="0" w:type="dxa"/>
            <w:bottom w:w="0" w:type="dxa"/>
            <w:right w:w="0" w:type="dxa"/>
          </w:tblCellMar>
        </w:tblPrEx>
        <w:trPr>
          <w:trHeight w:val="239"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bdr w:val="none" w:color="auto" w:sz="0" w:space="0"/>
                <w:lang w:val="en-US" w:eastAsia="zh-CN" w:bidi="ar"/>
              </w:rPr>
              <w:t>状态：已送审</w:t>
            </w:r>
          </w:p>
        </w:tc>
      </w:tr>
      <w:tr>
        <w:tblPrEx>
          <w:tblLayout w:type="fixed"/>
          <w:tblCellMar>
            <w:top w:w="0" w:type="dxa"/>
            <w:left w:w="0" w:type="dxa"/>
            <w:bottom w:w="0" w:type="dxa"/>
            <w:right w:w="0" w:type="dxa"/>
          </w:tblCellMar>
        </w:tblPrEx>
        <w:trPr>
          <w:trHeight w:val="309"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650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中国共产党巫溪县纪律检查委员会巫溪县监察委员会整体监控</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项目编码：</w:t>
            </w:r>
          </w:p>
        </w:tc>
        <w:tc>
          <w:tcPr>
            <w:tcW w:w="259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50023800024P000005</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自评总分：</w:t>
            </w:r>
          </w:p>
        </w:tc>
        <w:tc>
          <w:tcPr>
            <w:tcW w:w="259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5"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项目主管部门：</w:t>
            </w:r>
          </w:p>
        </w:tc>
        <w:tc>
          <w:tcPr>
            <w:tcW w:w="650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005-中国共产党巫溪县纪律检查委员会巫溪县监察委员会</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财政归口处室：</w:t>
            </w:r>
          </w:p>
        </w:tc>
        <w:tc>
          <w:tcPr>
            <w:tcW w:w="259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005-行财科</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部门联系人：</w:t>
            </w:r>
          </w:p>
        </w:tc>
        <w:tc>
          <w:tcPr>
            <w:tcW w:w="259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梁焱</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联系电话：</w:t>
            </w:r>
          </w:p>
        </w:tc>
        <w:tc>
          <w:tcPr>
            <w:tcW w:w="14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51522516</w:t>
            </w:r>
          </w:p>
        </w:tc>
      </w:tr>
      <w:tr>
        <w:tblPrEx>
          <w:tblLayout w:type="fixed"/>
          <w:tblCellMar>
            <w:top w:w="0" w:type="dxa"/>
            <w:left w:w="0" w:type="dxa"/>
            <w:bottom w:w="0" w:type="dxa"/>
            <w:right w:w="0" w:type="dxa"/>
          </w:tblCellMar>
        </w:tblPrEx>
        <w:trPr>
          <w:trHeight w:val="376"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768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0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年初预算数</w:t>
            </w:r>
          </w:p>
        </w:tc>
        <w:tc>
          <w:tcPr>
            <w:tcW w:w="259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全年（调整）预算数</w:t>
            </w:r>
          </w:p>
        </w:tc>
        <w:tc>
          <w:tcPr>
            <w:tcW w:w="292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全年执行数</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执行率权重</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年度总金额</w:t>
            </w:r>
          </w:p>
        </w:tc>
        <w:tc>
          <w:tcPr>
            <w:tcW w:w="325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3"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34,262,247.95 </w:t>
            </w:r>
          </w:p>
        </w:tc>
        <w:tc>
          <w:tcPr>
            <w:tcW w:w="1135"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37,672,460.27 </w:t>
            </w:r>
          </w:p>
        </w:tc>
        <w:tc>
          <w:tcPr>
            <w:tcW w:w="146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37,672,460.27 </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其中：财政拨款</w:t>
            </w:r>
          </w:p>
        </w:tc>
        <w:tc>
          <w:tcPr>
            <w:tcW w:w="325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3"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34,262,247.95 </w:t>
            </w:r>
          </w:p>
        </w:tc>
        <w:tc>
          <w:tcPr>
            <w:tcW w:w="1135"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37,672,460.27 </w:t>
            </w:r>
          </w:p>
        </w:tc>
        <w:tc>
          <w:tcPr>
            <w:tcW w:w="146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37,672,460.27 </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w:t>
            </w:r>
          </w:p>
        </w:tc>
        <w:tc>
          <w:tcPr>
            <w:tcW w:w="325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3"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34,262,247.95 </w:t>
            </w:r>
          </w:p>
        </w:tc>
        <w:tc>
          <w:tcPr>
            <w:tcW w:w="1135"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37,672,460.27 </w:t>
            </w:r>
          </w:p>
        </w:tc>
        <w:tc>
          <w:tcPr>
            <w:tcW w:w="146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37,672,460.27 </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12594"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年初绩效目标</w:t>
            </w:r>
          </w:p>
        </w:tc>
        <w:tc>
          <w:tcPr>
            <w:tcW w:w="5522"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全年（调整）绩效目标</w:t>
            </w:r>
          </w:p>
        </w:tc>
        <w:tc>
          <w:tcPr>
            <w:tcW w:w="4234"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1259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入贯彻习近平新时代中国特色社会主义思想和党的十九大精神，坚持和加强党对纪检监察工作的领导，严格监督执法程序，促进执纪执法贯通、有效衔接司法要求的重要制度建设措施。维护党的章程和其他党内法规，协助党的委员会加强党风建设，检查党的路线方针政策和决议的执行情况等，履行监督、执纪、问责职责。受理群众信访举报400件次，处置问题线索200件，依法留置2人，给予党纪政务处分15人。正确把握政策策略，运用第一、第二、第三、第四种形态分别处理300人次、31人次、5人次、25人次，分别占83.1%、8.6%、1.4%、6.9%。;开展作风建设监督、政治生态专项监督、民生专项整治督导督查、巡视巡察专项督查等。;计划选派30名同志到北戴河培训中心培训，计划选派20名同志到市纪委跟案培训。;监察机关作为行驶国家监察职能的专责机关，依法履行监督、调查、处置职责。计划对象12人，办理违法案件10件。由李家湾管理服务中心负责日常运转及后勤保障。;完成2024年《中国纪检监察》《中国纪检监察报》《党风廉政建设》期刊征订；完成全委会召开，纪检监察系统会议6次以及其他会议若干次；政府购买服务人员6名工资保障。  2024年，计划推动“以案四说”进基层6场次；警示教育专题片制作12期；出版《清风宁河》等刊物选编20期；刊登廉政公益广告；持续推进党风廉政网络建设及新媒体运用；发送清风廉语短信2万余条；完成纪检纪检监察体制改革法律法规征订等。</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2024年预计开展2轮巡察，每轮开展时间为60天（工作日）、组建7个巡察组、每组7人。</w:t>
            </w:r>
          </w:p>
        </w:tc>
        <w:tc>
          <w:tcPr>
            <w:tcW w:w="552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4234"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入贯彻习近平新时代中国特色社会主义思想和党的十九大精神，坚持和加强党对纪检监察工作的领导，严格监督执法程序，促进执纪执法贯通、有效衔接司法要求的重要制度建设措施。维护党的章程和其他党内法规，协助党的委员会加强党风建设，检查党的路线方针政策和决议的执行情况等，履行监督、执纪、问责职责。受理信访举报313件次，处置问题线索484件，立案167件201人，精准运用“四种形态”批评教育和处理443人次，依法留置3人，分别占比65.9%、29.3%、2.5%、2.3%，追缴涉案款1337.93万元。制作警示教育片1部，举办警示教育展3场次，开展“以案四说”警示教育626场次，受教育2.97万人次。安排县委第五轮、六轮巡察，领导小组成员19次参加动员反馈会议，两轮巡察发现21个县管党组织问题306个、95个村级党组织问题752个，移交问题线索38件。</w:t>
            </w:r>
          </w:p>
        </w:tc>
      </w:tr>
      <w:tr>
        <w:tblPrEx>
          <w:shd w:val="clear"/>
          <w:tblLayout w:type="fixed"/>
          <w:tblCellMar>
            <w:top w:w="0" w:type="dxa"/>
            <w:left w:w="0" w:type="dxa"/>
            <w:bottom w:w="0" w:type="dxa"/>
            <w:right w:w="0" w:type="dxa"/>
          </w:tblCellMar>
        </w:tblPrEx>
        <w:trPr>
          <w:trHeight w:val="456"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指标名称</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计量单位</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指标性质</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指标值</w:t>
            </w:r>
          </w:p>
        </w:tc>
        <w:tc>
          <w:tcPr>
            <w:tcW w:w="11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全年完成值</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偏离度（%）</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得分系数（%）</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指标权重</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指标得分</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是否核心指标</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说明</w:t>
            </w: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发放覆盖率</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1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专题领域开展“以案四说”次数</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次</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加大纪检监察力度，营造廉洁勤政氛围。</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定性</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基本建立</w:t>
            </w:r>
          </w:p>
        </w:tc>
        <w:tc>
          <w:tcPr>
            <w:tcW w:w="11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宣传教育片宣传覆盖率</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1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43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家属满意度</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25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11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68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41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tbl>
      <w:tblPr>
        <w:tblW w:w="22350" w:type="dxa"/>
        <w:tblInd w:w="0" w:type="dxa"/>
        <w:shd w:val="clear"/>
        <w:tblLayout w:type="fixed"/>
        <w:tblCellMar>
          <w:top w:w="0" w:type="dxa"/>
          <w:left w:w="0" w:type="dxa"/>
          <w:bottom w:w="0" w:type="dxa"/>
          <w:right w:w="0" w:type="dxa"/>
        </w:tblCellMar>
      </w:tblPr>
      <w:tblGrid>
        <w:gridCol w:w="2431"/>
        <w:gridCol w:w="2490"/>
        <w:gridCol w:w="2490"/>
        <w:gridCol w:w="1662"/>
        <w:gridCol w:w="1197"/>
        <w:gridCol w:w="1646"/>
        <w:gridCol w:w="1546"/>
        <w:gridCol w:w="1192"/>
        <w:gridCol w:w="965"/>
        <w:gridCol w:w="1429"/>
        <w:gridCol w:w="5302"/>
      </w:tblGrid>
      <w:tr>
        <w:tblPrEx>
          <w:shd w:val="clear"/>
          <w:tblLayout w:type="fixed"/>
          <w:tblCellMar>
            <w:top w:w="0" w:type="dxa"/>
            <w:left w:w="0" w:type="dxa"/>
            <w:bottom w:w="0" w:type="dxa"/>
            <w:right w:w="0" w:type="dxa"/>
          </w:tblCellMar>
        </w:tblPrEx>
        <w:trPr>
          <w:trHeight w:val="8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bdr w:val="none" w:color="auto" w:sz="0" w:space="0"/>
                <w:lang w:val="en-US" w:eastAsia="zh-CN" w:bidi="ar"/>
              </w:rPr>
              <w:t>2024年度二级项目绩效自评表</w:t>
            </w:r>
          </w:p>
        </w:tc>
      </w:tr>
      <w:tr>
        <w:tblPrEx>
          <w:tblLayout w:type="fixed"/>
          <w:tblCellMar>
            <w:top w:w="0" w:type="dxa"/>
            <w:left w:w="0" w:type="dxa"/>
            <w:bottom w:w="0" w:type="dxa"/>
            <w:right w:w="0" w:type="dxa"/>
          </w:tblCellMar>
        </w:tblPrEx>
        <w:trPr>
          <w:trHeight w:val="5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bdr w:val="none" w:color="auto" w:sz="0" w:space="0"/>
                <w:lang w:val="en-US" w:eastAsia="zh-CN" w:bidi="ar"/>
              </w:rPr>
              <w:t>状态：部门审核已审</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498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报刊征订专项支出</w:t>
            </w:r>
          </w:p>
        </w:tc>
        <w:tc>
          <w:tcPr>
            <w:tcW w:w="1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项目编码：</w:t>
            </w:r>
          </w:p>
        </w:tc>
        <w:tc>
          <w:tcPr>
            <w:tcW w:w="284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50023824T000004207550</w:t>
            </w:r>
          </w:p>
        </w:tc>
        <w:tc>
          <w:tcPr>
            <w:tcW w:w="15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自评总分：</w:t>
            </w:r>
          </w:p>
        </w:tc>
        <w:tc>
          <w:tcPr>
            <w:tcW w:w="215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3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项目主管部门：</w:t>
            </w:r>
          </w:p>
        </w:tc>
        <w:tc>
          <w:tcPr>
            <w:tcW w:w="498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005-中国共产党巫溪县纪律检查委员会巫溪县监察委员会</w:t>
            </w:r>
          </w:p>
        </w:tc>
        <w:tc>
          <w:tcPr>
            <w:tcW w:w="1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财政归口处室：</w:t>
            </w:r>
          </w:p>
        </w:tc>
        <w:tc>
          <w:tcPr>
            <w:tcW w:w="284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005-行财科</w:t>
            </w:r>
          </w:p>
        </w:tc>
        <w:tc>
          <w:tcPr>
            <w:tcW w:w="15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部门联系人：</w:t>
            </w:r>
          </w:p>
        </w:tc>
        <w:tc>
          <w:tcPr>
            <w:tcW w:w="2157"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梁焱</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联系电话：</w:t>
            </w:r>
          </w:p>
        </w:tc>
        <w:tc>
          <w:tcPr>
            <w:tcW w:w="53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51522516</w:t>
            </w: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921"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2"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年初预算数</w:t>
            </w:r>
          </w:p>
        </w:tc>
        <w:tc>
          <w:tcPr>
            <w:tcW w:w="2843"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全年（调整）预算数</w:t>
            </w:r>
          </w:p>
        </w:tc>
        <w:tc>
          <w:tcPr>
            <w:tcW w:w="2738"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全年执行数</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执行率权重</w:t>
            </w: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年度总金额</w:t>
            </w:r>
          </w:p>
        </w:tc>
        <w:tc>
          <w:tcPr>
            <w:tcW w:w="249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0"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119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6"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1546"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其中：财政拨款</w:t>
            </w:r>
          </w:p>
        </w:tc>
        <w:tc>
          <w:tcPr>
            <w:tcW w:w="249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0"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119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6"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1546"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w:t>
            </w:r>
          </w:p>
        </w:tc>
        <w:tc>
          <w:tcPr>
            <w:tcW w:w="249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0"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119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6"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1546"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400,000.00 </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9073"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年初绩效目标</w:t>
            </w:r>
          </w:p>
        </w:tc>
        <w:tc>
          <w:tcPr>
            <w:tcW w:w="5581"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全年（调整）绩效目标</w:t>
            </w:r>
          </w:p>
        </w:tc>
        <w:tc>
          <w:tcPr>
            <w:tcW w:w="7696"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9073"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为全县32个乡镇（街道），330个村（社区），56个县级部门统一征订《中国纪检监察报》及《中国纪检监察》《党风廉政建设》，各乡镇部门等不再预算。</w:t>
            </w:r>
          </w:p>
        </w:tc>
        <w:tc>
          <w:tcPr>
            <w:tcW w:w="5581"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为全县32个乡镇（街道），330个村（社区），56个县级部门统一征订《中国纪检监察报》及《中国纪检监察》《党风廉政建设》，各乡镇部门等不再预算。</w:t>
            </w:r>
          </w:p>
        </w:tc>
        <w:tc>
          <w:tcPr>
            <w:tcW w:w="769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为全县32个乡镇（街道），330个村（社区），56个县级部门统一征订《中国纪检监察报》及《中国纪检监察》《党风廉政建设》</w:t>
            </w:r>
          </w:p>
        </w:tc>
      </w:tr>
      <w:tr>
        <w:tblPrEx>
          <w:tblLayout w:type="fixed"/>
          <w:tblCellMar>
            <w:top w:w="0" w:type="dxa"/>
            <w:left w:w="0" w:type="dxa"/>
            <w:bottom w:w="0" w:type="dxa"/>
            <w:right w:w="0" w:type="dxa"/>
          </w:tblCellMar>
        </w:tblPrEx>
        <w:trPr>
          <w:trHeight w:val="600" w:hRule="atLeast"/>
        </w:trPr>
        <w:tc>
          <w:tcPr>
            <w:tcW w:w="2235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指标名称</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计量单位</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指标性质</w:t>
            </w:r>
          </w:p>
        </w:tc>
        <w:tc>
          <w:tcPr>
            <w:tcW w:w="1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指标值</w:t>
            </w:r>
          </w:p>
        </w:tc>
        <w:tc>
          <w:tcPr>
            <w:tcW w:w="119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全年完成值</w:t>
            </w:r>
          </w:p>
        </w:tc>
        <w:tc>
          <w:tcPr>
            <w:tcW w:w="16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偏离度（%）</w:t>
            </w:r>
          </w:p>
        </w:tc>
        <w:tc>
          <w:tcPr>
            <w:tcW w:w="15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得分系数（%）</w:t>
            </w:r>
          </w:p>
        </w:tc>
        <w:tc>
          <w:tcPr>
            <w:tcW w:w="11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指标权重</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指标得分</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是否核心指标</w:t>
            </w: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说明</w:t>
            </w: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征订报刊完成时间</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2024</w:t>
            </w:r>
          </w:p>
        </w:tc>
        <w:tc>
          <w:tcPr>
            <w:tcW w:w="119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2024</w:t>
            </w:r>
          </w:p>
        </w:tc>
        <w:tc>
          <w:tcPr>
            <w:tcW w:w="16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征订报刊覆盖率</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6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全县单位满意度</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24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19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6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5.56</w:t>
            </w:r>
          </w:p>
        </w:tc>
        <w:tc>
          <w:tcPr>
            <w:tcW w:w="154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42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530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5E7EF2"/>
    <w:rsid w:val="03E3214F"/>
    <w:rsid w:val="04446191"/>
    <w:rsid w:val="044C50BA"/>
    <w:rsid w:val="06A2550B"/>
    <w:rsid w:val="06F80EE2"/>
    <w:rsid w:val="07001CCA"/>
    <w:rsid w:val="075678DB"/>
    <w:rsid w:val="08051BCA"/>
    <w:rsid w:val="08887FC5"/>
    <w:rsid w:val="089F37F3"/>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FF7332"/>
    <w:rsid w:val="21556F04"/>
    <w:rsid w:val="22403BD3"/>
    <w:rsid w:val="24B92327"/>
    <w:rsid w:val="2533755C"/>
    <w:rsid w:val="26396DF4"/>
    <w:rsid w:val="270642A6"/>
    <w:rsid w:val="27167136"/>
    <w:rsid w:val="27B23302"/>
    <w:rsid w:val="286C2D61"/>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9EC47D8"/>
    <w:rsid w:val="4A6C2B28"/>
    <w:rsid w:val="4AD70EE7"/>
    <w:rsid w:val="4B7951CB"/>
    <w:rsid w:val="4B7C315C"/>
    <w:rsid w:val="4BAB7F90"/>
    <w:rsid w:val="4DAC4ACA"/>
    <w:rsid w:val="4F186D58"/>
    <w:rsid w:val="50EC262C"/>
    <w:rsid w:val="522F6E0C"/>
    <w:rsid w:val="52463BA1"/>
    <w:rsid w:val="525223E4"/>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4969A7"/>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615DFB"/>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1"/>
      <w:szCs w:val="24"/>
      <w:lang w:val="en-US" w:eastAsia="zh-CN" w:bidi="ar-SA"/>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2025-09-11T09:26:56Z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9EDAFD8FD9424A54844071572B3E9A06_13</vt:lpwstr>
  </property>
</Properties>
</file>