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F6DC4">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巫溪县人大宣传信息中心</w:t>
      </w:r>
    </w:p>
    <w:p w14:paraId="0A228B75">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2024年度决算公开说明</w:t>
      </w:r>
    </w:p>
    <w:p w14:paraId="46310FB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shd w:val="clear" w:color="auto" w:fill="FFFFFF"/>
        </w:rPr>
      </w:pPr>
      <w:r>
        <w:rPr>
          <w:rStyle w:val="8"/>
          <w:rFonts w:hint="default" w:ascii="Times New Roman" w:hAnsi="Times New Roman" w:eastAsia="黑体" w:cs="Times New Roman"/>
          <w:color w:val="auto"/>
          <w:sz w:val="32"/>
          <w:szCs w:val="32"/>
          <w:shd w:val="clear" w:color="auto" w:fill="FFFFFF"/>
        </w:rPr>
        <w:t>一、</w:t>
      </w:r>
      <w:r>
        <w:rPr>
          <w:rStyle w:val="8"/>
          <w:rFonts w:hint="default" w:ascii="Times New Roman" w:hAnsi="Times New Roman" w:eastAsia="黑体" w:cs="Times New Roman"/>
          <w:color w:val="auto"/>
          <w:sz w:val="32"/>
          <w:szCs w:val="32"/>
          <w:shd w:val="clear" w:color="auto" w:fill="FFFFFF"/>
          <w:lang w:eastAsia="zh-CN"/>
        </w:rPr>
        <w:t>单位</w:t>
      </w:r>
      <w:r>
        <w:rPr>
          <w:rStyle w:val="8"/>
          <w:rFonts w:hint="default" w:ascii="Times New Roman" w:hAnsi="Times New Roman" w:eastAsia="黑体" w:cs="Times New Roman"/>
          <w:color w:val="auto"/>
          <w:sz w:val="32"/>
          <w:szCs w:val="32"/>
          <w:shd w:val="clear" w:color="auto" w:fill="FFFFFF"/>
        </w:rPr>
        <w:t>基本情况</w:t>
      </w:r>
    </w:p>
    <w:p w14:paraId="3A355ADB">
      <w:pPr>
        <w:pStyle w:val="5"/>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（一）职能职责</w:t>
      </w:r>
    </w:p>
    <w:p w14:paraId="6B27186E">
      <w:pPr>
        <w:pStyle w:val="12"/>
        <w:keepNext w:val="0"/>
        <w:keepLines w:val="0"/>
        <w:pageBreakBefore w:val="0"/>
        <w:widowControl/>
        <w:tabs>
          <w:tab w:val="center" w:pos="4153"/>
          <w:tab w:val="left" w:pos="7275"/>
        </w:tabs>
        <w:kinsoku/>
        <w:overflowPunct/>
        <w:topLinePunct w:val="0"/>
        <w:autoSpaceDN/>
        <w:bidi w:val="0"/>
        <w:adjustRightInd/>
        <w:spacing w:beforeAutospacing="0" w:afterAutospacing="0" w:line="594" w:lineRule="exact"/>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本预算单位为巫溪县人大常委会办公室下设事业单位巫溪县人大宣传信息中心。</w:t>
      </w:r>
    </w:p>
    <w:p w14:paraId="651251BE">
      <w:pPr>
        <w:pStyle w:val="12"/>
        <w:keepNext w:val="0"/>
        <w:keepLines w:val="0"/>
        <w:pageBreakBefore w:val="0"/>
        <w:widowControl/>
        <w:tabs>
          <w:tab w:val="center" w:pos="4153"/>
          <w:tab w:val="left" w:pos="7275"/>
        </w:tabs>
        <w:kinsoku/>
        <w:overflowPunct/>
        <w:topLinePunct w:val="0"/>
        <w:autoSpaceDN/>
        <w:bidi w:val="0"/>
        <w:adjustRightInd/>
        <w:spacing w:beforeAutospacing="0" w:afterAutospacing="0" w:line="594" w:lineRule="exact"/>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巫溪县人大宣传信息中心负责人大新闻宣传报道、信息和刊物的管理工作。根据县人大常委会工作安排意见及专门委员会、常委会、各工作部门的工作计划，拟定年度新闻宣传工作计划，统一组织协调实施好人民代表大会制度和人大工作的宣传报道工作。联系和协调有关新闻单位，做好县人民代表大会会议、县人大常委会会议、县人大常委会主任会议的宣传报道工作。负责协调做好县人大常委会机关重要工作、重大活动的新闻宣传工作。负责与各级新闻媒体的联系，并向其报送有关我县人大及其常委会工作的新闻稿件，承办全国人大、市人大安排的有关新闻宣传工作及在有关媒体中开办的人大工作专栏、专门的组稿工作。负责县人大常委会政务公开、信息公开、舆情应对等工作。管理巫溪人大信息网及巫溪人大微信公众号，编辑《巫溪人大》杂志。联系指导人大、街道工委和乡镇人大主席团的宣传信息工作。负责人大工作信息的收集和整理，及时上报县人大常委会。办理县人大常委会党组和县人大常委会会议主任会议安排的各项工作任务。办理县人大常委会领导交办的其他工作事项。</w:t>
      </w:r>
    </w:p>
    <w:p w14:paraId="76614059">
      <w:pPr>
        <w:pStyle w:val="5"/>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rPr>
          <w:rFonts w:hint="default" w:ascii="Times New Roman" w:hAnsi="Times New Roman" w:eastAsia="楷体" w:cs="Times New Roman"/>
          <w:color w:val="auto"/>
          <w:sz w:val="32"/>
          <w:szCs w:val="32"/>
        </w:rPr>
      </w:pPr>
      <w:r>
        <w:rPr>
          <w:rStyle w:val="8"/>
          <w:rFonts w:hint="default" w:ascii="Times New Roman" w:hAnsi="Times New Roman" w:eastAsia="楷体" w:cs="Times New Roman"/>
          <w:color w:val="auto"/>
          <w:sz w:val="32"/>
          <w:szCs w:val="32"/>
          <w:shd w:val="clear" w:color="auto" w:fill="FFFFFF"/>
        </w:rPr>
        <w:t>（二）机构设置</w:t>
      </w:r>
    </w:p>
    <w:p w14:paraId="2514E1FC">
      <w:pPr>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巫溪县人大宣传信息中心是巫溪县人大常委会办公室下设事业单位，为二级预算单位。县人大宣传信息中心编制数14个，实有人数1</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人。</w:t>
      </w:r>
    </w:p>
    <w:p w14:paraId="2426955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sz w:val="32"/>
          <w:szCs w:val="32"/>
        </w:rPr>
      </w:pPr>
      <w:r>
        <w:rPr>
          <w:rStyle w:val="8"/>
          <w:rFonts w:hint="default" w:ascii="Times New Roman" w:hAnsi="Times New Roman" w:eastAsia="黑体" w:cs="Times New Roman"/>
          <w:color w:val="auto"/>
          <w:sz w:val="32"/>
          <w:szCs w:val="32"/>
          <w:shd w:val="clear" w:color="auto" w:fill="FFFFFF"/>
        </w:rPr>
        <w:t>二、</w:t>
      </w:r>
      <w:r>
        <w:rPr>
          <w:rStyle w:val="8"/>
          <w:rFonts w:hint="default" w:ascii="Times New Roman" w:hAnsi="Times New Roman" w:eastAsia="黑体" w:cs="Times New Roman"/>
          <w:color w:val="auto"/>
          <w:sz w:val="32"/>
          <w:szCs w:val="32"/>
          <w:shd w:val="clear" w:color="auto" w:fill="FFFFFF"/>
          <w:lang w:eastAsia="zh-CN"/>
        </w:rPr>
        <w:t>单位</w:t>
      </w:r>
      <w:r>
        <w:rPr>
          <w:rStyle w:val="8"/>
          <w:rFonts w:hint="default" w:ascii="Times New Roman" w:hAnsi="Times New Roman" w:eastAsia="黑体" w:cs="Times New Roman"/>
          <w:color w:val="auto"/>
          <w:sz w:val="32"/>
          <w:szCs w:val="32"/>
          <w:shd w:val="clear" w:color="auto" w:fill="FFFFFF"/>
        </w:rPr>
        <w:t>决算</w:t>
      </w:r>
      <w:r>
        <w:rPr>
          <w:rStyle w:val="8"/>
          <w:rFonts w:hint="default" w:ascii="Times New Roman" w:hAnsi="Times New Roman" w:eastAsia="黑体" w:cs="Times New Roman"/>
          <w:color w:val="auto"/>
          <w:sz w:val="32"/>
          <w:szCs w:val="32"/>
          <w:shd w:val="clear" w:color="auto" w:fill="FFFFFF"/>
          <w:lang w:eastAsia="zh-CN"/>
        </w:rPr>
        <w:t>收支</w:t>
      </w:r>
      <w:r>
        <w:rPr>
          <w:rStyle w:val="8"/>
          <w:rFonts w:hint="default" w:ascii="Times New Roman" w:hAnsi="Times New Roman" w:eastAsia="黑体" w:cs="Times New Roman"/>
          <w:color w:val="auto"/>
          <w:sz w:val="32"/>
          <w:szCs w:val="32"/>
          <w:shd w:val="clear" w:color="auto" w:fill="FFFFFF"/>
        </w:rPr>
        <w:t>情况说明</w:t>
      </w:r>
    </w:p>
    <w:p w14:paraId="1B404789">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（一）收入支出决算总体情况说明。</w:t>
      </w:r>
    </w:p>
    <w:p w14:paraId="329CBFD4">
      <w:pPr>
        <w:spacing w:line="600" w:lineRule="exact"/>
        <w:ind w:firstLine="640" w:firstLineChars="200"/>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度收入总计224.46万元，支出总计</w:t>
      </w:r>
      <w:r>
        <w:rPr>
          <w:rFonts w:hint="default" w:ascii="Times New Roman" w:hAnsi="Times New Roman" w:eastAsia="方正仿宋_GBK" w:cs="Times New Roman"/>
          <w:color w:val="auto"/>
          <w:sz w:val="32"/>
          <w:szCs w:val="32"/>
        </w:rPr>
        <w:t>224.46</w:t>
      </w:r>
      <w:r>
        <w:rPr>
          <w:rFonts w:hint="default" w:ascii="Times New Roman" w:hAnsi="Times New Roman" w:eastAsia="方正仿宋_GBK" w:cs="Times New Roman"/>
          <w:color w:val="auto"/>
          <w:sz w:val="32"/>
          <w:szCs w:val="32"/>
          <w:shd w:val="clear" w:color="auto" w:fill="FFFFFF"/>
        </w:rPr>
        <w:t>万元。收、支与2023年度相比，增加224.46万元，增长100.0%，主要原因是</w:t>
      </w:r>
      <w:r>
        <w:rPr>
          <w:rFonts w:hint="default" w:ascii="Times New Roman" w:hAnsi="Times New Roman" w:eastAsia="方正仿宋_GBK" w:cs="Times New Roman"/>
          <w:color w:val="auto"/>
          <w:sz w:val="32"/>
          <w:szCs w:val="32"/>
        </w:rPr>
        <w:t>本单位为新增预算单位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上年度数据为零，本年度首次进行决算公开。</w:t>
      </w:r>
    </w:p>
    <w:p w14:paraId="5D2B1021">
      <w:pPr>
        <w:spacing w:line="600" w:lineRule="exact"/>
        <w:ind w:firstLine="640" w:firstLineChars="200"/>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度收入合计224.46万元，与2023年度相比，增加224.46万元，增长100.0%，主要原因是</w:t>
      </w:r>
      <w:r>
        <w:rPr>
          <w:rFonts w:hint="default" w:ascii="Times New Roman" w:hAnsi="Times New Roman" w:eastAsia="方正仿宋_GBK" w:cs="Times New Roman"/>
          <w:color w:val="auto"/>
          <w:sz w:val="32"/>
          <w:szCs w:val="32"/>
        </w:rPr>
        <w:t>本单位为新增预算单位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上年度数据为零，本年度首次进行决算公开。</w:t>
      </w:r>
    </w:p>
    <w:p w14:paraId="4ABB826F">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224.46</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023CF0BD">
      <w:pPr>
        <w:spacing w:line="600" w:lineRule="exact"/>
        <w:ind w:firstLine="640" w:firstLineChars="200"/>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224.46</w:t>
      </w:r>
      <w:r>
        <w:rPr>
          <w:rFonts w:hint="default" w:ascii="Times New Roman" w:hAnsi="Times New Roman" w:eastAsia="方正仿宋_GBK" w:cs="Times New Roman"/>
          <w:color w:val="auto"/>
          <w:sz w:val="32"/>
          <w:szCs w:val="32"/>
          <w:shd w:val="clear" w:color="auto" w:fill="FFFFFF"/>
        </w:rPr>
        <w:t>万元，与2023年度相比，增加224.46万元，增长100.0%，主要原因是</w:t>
      </w:r>
      <w:r>
        <w:rPr>
          <w:rFonts w:hint="default" w:ascii="Times New Roman" w:hAnsi="Times New Roman" w:eastAsia="方正仿宋_GBK" w:cs="Times New Roman"/>
          <w:color w:val="auto"/>
          <w:sz w:val="32"/>
          <w:szCs w:val="32"/>
        </w:rPr>
        <w:t>本单位为新增预算单位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上年度数据为零，本年度首次进行决算公开。</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219.43</w:t>
      </w:r>
      <w:r>
        <w:rPr>
          <w:rFonts w:hint="default" w:ascii="Times New Roman" w:hAnsi="Times New Roman" w:eastAsia="方正仿宋_GBK" w:cs="Times New Roman"/>
          <w:color w:val="auto"/>
          <w:sz w:val="32"/>
          <w:szCs w:val="32"/>
          <w:shd w:val="clear" w:color="auto" w:fill="FFFFFF"/>
        </w:rPr>
        <w:t>万元，占97.76%；项目支出</w:t>
      </w:r>
      <w:r>
        <w:rPr>
          <w:rFonts w:hint="default" w:ascii="Times New Roman" w:hAnsi="Times New Roman" w:eastAsia="方正仿宋_GBK" w:cs="Times New Roman"/>
          <w:color w:val="auto"/>
          <w:sz w:val="32"/>
          <w:szCs w:val="32"/>
        </w:rPr>
        <w:t>5.03</w:t>
      </w:r>
      <w:r>
        <w:rPr>
          <w:rFonts w:hint="default" w:ascii="Times New Roman" w:hAnsi="Times New Roman" w:eastAsia="方正仿宋_GBK" w:cs="Times New Roman"/>
          <w:color w:val="auto"/>
          <w:sz w:val="32"/>
          <w:szCs w:val="32"/>
          <w:shd w:val="clear" w:color="auto" w:fill="FFFFFF"/>
        </w:rPr>
        <w:t>万元，占2.24%；经营支出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7CAB1528">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lang w:eastAsia="zh-CN"/>
        </w:rPr>
      </w:pPr>
      <w:r>
        <w:rPr>
          <w:rStyle w:val="8"/>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eastAsia="zh-CN"/>
        </w:rPr>
        <w:t>。</w:t>
      </w:r>
    </w:p>
    <w:p w14:paraId="7160951F">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（二）财政拨款收入支出决算总体情况说明</w:t>
      </w:r>
    </w:p>
    <w:p w14:paraId="4745063F">
      <w:pPr>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度财政拨款收、支总计224.46万元。与202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年相比，财政拨款收、支总计各增加224.46万元，增长100.0%。主要原因</w:t>
      </w:r>
      <w:r>
        <w:rPr>
          <w:rFonts w:hint="default" w:ascii="Times New Roman" w:hAnsi="Times New Roman" w:eastAsia="方正仿宋_GBK" w:cs="Times New Roman"/>
          <w:color w:val="auto"/>
          <w:sz w:val="32"/>
          <w:szCs w:val="32"/>
        </w:rPr>
        <w:t>本单位为新增预算单位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上年度数据为零，本年度首次进行决算公开。</w:t>
      </w:r>
    </w:p>
    <w:p w14:paraId="63593792">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（三）一般公共预算财政拨款收入支出决算情况说明</w:t>
      </w:r>
    </w:p>
    <w:p w14:paraId="6B48BC86">
      <w:pPr>
        <w:spacing w:line="600" w:lineRule="exact"/>
        <w:ind w:firstLine="640" w:firstLineChars="200"/>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度一般公共预算财政拨款收入</w:t>
      </w:r>
      <w:r>
        <w:rPr>
          <w:rFonts w:hint="default" w:ascii="Times New Roman" w:hAnsi="Times New Roman" w:eastAsia="方正仿宋_GBK" w:cs="Times New Roman"/>
          <w:color w:val="auto"/>
          <w:sz w:val="32"/>
          <w:szCs w:val="32"/>
        </w:rPr>
        <w:t>224.46</w:t>
      </w:r>
      <w:r>
        <w:rPr>
          <w:rFonts w:hint="default" w:ascii="Times New Roman" w:hAnsi="Times New Roman" w:eastAsia="方正仿宋_GBK" w:cs="Times New Roman"/>
          <w:color w:val="auto"/>
          <w:sz w:val="32"/>
          <w:szCs w:val="32"/>
          <w:shd w:val="clear" w:color="auto" w:fill="FFFFFF"/>
        </w:rPr>
        <w:t>万元，与2023年度相比，增加224.46万元，增长100.0%。主要原因是</w:t>
      </w:r>
      <w:r>
        <w:rPr>
          <w:rFonts w:hint="default" w:ascii="Times New Roman" w:hAnsi="Times New Roman" w:eastAsia="方正仿宋_GBK" w:cs="Times New Roman"/>
          <w:color w:val="auto"/>
          <w:sz w:val="32"/>
          <w:szCs w:val="32"/>
        </w:rPr>
        <w:t>本单位为新增预算单位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上年度数据为零，本年度首次进行决算公开，</w:t>
      </w:r>
      <w:r>
        <w:rPr>
          <w:rFonts w:hint="default" w:ascii="Times New Roman" w:hAnsi="Times New Roman" w:eastAsia="方正仿宋_GBK" w:cs="Times New Roman"/>
          <w:color w:val="auto"/>
          <w:sz w:val="32"/>
          <w:szCs w:val="32"/>
          <w:shd w:val="clear" w:color="auto" w:fill="FFFFFF"/>
        </w:rPr>
        <w:t>较年初预算数减少8.40万元，下降3.6%。主要原因是</w:t>
      </w:r>
      <w:r>
        <w:rPr>
          <w:rFonts w:hint="default" w:ascii="Times New Roman" w:hAnsi="Times New Roman" w:eastAsia="方正仿宋_GBK" w:cs="Times New Roman"/>
          <w:color w:val="auto"/>
          <w:sz w:val="32"/>
          <w:szCs w:val="32"/>
          <w:shd w:val="clear" w:color="auto" w:fill="FFFFFF"/>
          <w:lang w:val="en-US" w:eastAsia="zh-CN"/>
        </w:rPr>
        <w:t>宣传信息项目经费支出</w:t>
      </w:r>
      <w:r>
        <w:rPr>
          <w:rFonts w:hint="default" w:ascii="Times New Roman" w:hAnsi="Times New Roman" w:eastAsia="方正仿宋_GBK" w:cs="Times New Roman"/>
          <w:color w:val="auto"/>
          <w:sz w:val="32"/>
          <w:szCs w:val="32"/>
          <w:lang w:val="en-US" w:eastAsia="zh-CN"/>
        </w:rPr>
        <w:t>积极响应财政过紧日子举措，实际支出比预算少支付4.97万元，公用经费例如办公费也比预算节省开支。</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1761D796">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lang w:val="en-US" w:eastAsia="zh-CN"/>
        </w:rPr>
      </w:pPr>
      <w:r>
        <w:rPr>
          <w:rStyle w:val="8"/>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224.46</w:t>
      </w:r>
      <w:r>
        <w:rPr>
          <w:rFonts w:hint="default" w:ascii="Times New Roman" w:hAnsi="Times New Roman" w:eastAsia="方正仿宋_GBK" w:cs="Times New Roman"/>
          <w:color w:val="auto"/>
          <w:sz w:val="32"/>
          <w:szCs w:val="32"/>
          <w:shd w:val="clear" w:color="auto" w:fill="FFFFFF"/>
        </w:rPr>
        <w:t>万元，与2023年度相比，增加224.46万元，增长100.0%。主要</w:t>
      </w:r>
      <w:r>
        <w:rPr>
          <w:rFonts w:hint="eastAsia" w:ascii="Times New Roman" w:hAnsi="Times New Roman" w:eastAsia="方正仿宋_GBK" w:cs="Times New Roman"/>
          <w:color w:val="auto"/>
          <w:sz w:val="32"/>
          <w:szCs w:val="32"/>
          <w:shd w:val="clear" w:color="auto" w:fill="FFFFFF"/>
          <w:lang w:eastAsia="zh-CN"/>
        </w:rPr>
        <w:t>原因是</w:t>
      </w:r>
      <w:r>
        <w:rPr>
          <w:rFonts w:hint="default" w:ascii="Times New Roman" w:hAnsi="Times New Roman" w:eastAsia="方正仿宋_GBK" w:cs="Times New Roman"/>
          <w:color w:val="auto"/>
          <w:sz w:val="32"/>
          <w:szCs w:val="32"/>
        </w:rPr>
        <w:t>本单位为新增预算单位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上年度数据为零，本年度首次进行决算公开。</w:t>
      </w:r>
      <w:r>
        <w:rPr>
          <w:rFonts w:hint="default" w:ascii="Times New Roman" w:hAnsi="Times New Roman" w:eastAsia="方正仿宋_GBK" w:cs="Times New Roman"/>
          <w:color w:val="auto"/>
          <w:sz w:val="32"/>
          <w:szCs w:val="32"/>
          <w:shd w:val="clear" w:color="auto" w:fill="FFFFFF"/>
        </w:rPr>
        <w:t>较年初预算数减少8.40万元，下降3.6%。主要原因是</w:t>
      </w:r>
      <w:r>
        <w:rPr>
          <w:rFonts w:hint="default" w:ascii="Times New Roman" w:hAnsi="Times New Roman" w:eastAsia="方正仿宋_GBK" w:cs="Times New Roman"/>
          <w:color w:val="auto"/>
          <w:sz w:val="32"/>
          <w:szCs w:val="32"/>
          <w:shd w:val="clear" w:color="auto" w:fill="FFFFFF"/>
          <w:lang w:val="en-US" w:eastAsia="zh-CN"/>
        </w:rPr>
        <w:t>宣传信息项目经费支出</w:t>
      </w:r>
      <w:r>
        <w:rPr>
          <w:rFonts w:hint="default" w:ascii="Times New Roman" w:hAnsi="Times New Roman" w:eastAsia="方正仿宋_GBK" w:cs="Times New Roman"/>
          <w:color w:val="auto"/>
          <w:sz w:val="32"/>
          <w:szCs w:val="32"/>
          <w:lang w:val="en-US" w:eastAsia="zh-CN"/>
        </w:rPr>
        <w:t>积极响应财政过紧日子举措，实际支出比预算少支付4.97万元，公用经费</w:t>
      </w:r>
      <w:bookmarkStart w:id="0" w:name="_GoBack"/>
      <w:bookmarkEnd w:id="0"/>
      <w:r>
        <w:rPr>
          <w:rFonts w:hint="default" w:ascii="Times New Roman" w:hAnsi="Times New Roman" w:eastAsia="方正仿宋_GBK" w:cs="Times New Roman"/>
          <w:color w:val="auto"/>
          <w:sz w:val="32"/>
          <w:szCs w:val="32"/>
          <w:lang w:val="en-US" w:eastAsia="zh-CN"/>
        </w:rPr>
        <w:t>例如办公费也比预算节省开支。</w:t>
      </w:r>
    </w:p>
    <w:p w14:paraId="40A9F57D">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Style w:val="8"/>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eastAsia="zh-CN"/>
        </w:rPr>
        <w:t>。</w:t>
      </w:r>
    </w:p>
    <w:p w14:paraId="32830C5D">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cyan"/>
          <w:shd w:val="clear" w:color="auto" w:fill="FFFFFF"/>
        </w:rPr>
      </w:pPr>
      <w:r>
        <w:rPr>
          <w:rStyle w:val="8"/>
          <w:rFonts w:hint="default" w:ascii="Times New Roman" w:hAnsi="Times New Roman" w:eastAsia="方正仿宋_GBK" w:cs="Times New Roman"/>
          <w:color w:val="auto"/>
          <w:sz w:val="32"/>
          <w:szCs w:val="32"/>
          <w:shd w:val="clear" w:color="auto" w:fill="FFFFFF"/>
        </w:rPr>
        <w:t>4.比较情况。</w:t>
      </w:r>
      <w:r>
        <w:rPr>
          <w:rFonts w:hint="default" w:ascii="Times New Roman" w:hAnsi="Times New Roman" w:eastAsia="方正仿宋_GBK" w:cs="Times New Roman"/>
          <w:color w:val="auto"/>
          <w:sz w:val="32"/>
          <w:szCs w:val="32"/>
          <w:shd w:val="clear" w:color="auto" w:fill="FFFFFF"/>
        </w:rPr>
        <w:t>本单位</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度一般公共预算财政拨款支出主要用于以下几个方面：</w:t>
      </w:r>
    </w:p>
    <w:p w14:paraId="09069C07">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rPr>
        <w:t>（1）一般公共服务支出</w:t>
      </w:r>
      <w:r>
        <w:rPr>
          <w:rFonts w:hint="default" w:ascii="Times New Roman" w:hAnsi="Times New Roman" w:eastAsia="方正仿宋_GBK" w:cs="Times New Roman"/>
          <w:color w:val="auto"/>
          <w:sz w:val="32"/>
          <w:szCs w:val="32"/>
        </w:rPr>
        <w:t>172.61</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76.90</w:t>
      </w:r>
      <w:r>
        <w:rPr>
          <w:rFonts w:hint="default" w:ascii="Times New Roman" w:hAnsi="Times New Roman" w:eastAsia="方正仿宋_GBK" w:cs="Times New Roman"/>
          <w:color w:val="auto"/>
          <w:sz w:val="32"/>
          <w:szCs w:val="32"/>
          <w:shd w:val="clear" w:color="auto" w:fill="FFFFFF"/>
        </w:rPr>
        <w:t>%，较年初预算数减少18.38万元，下降9.6%，主要原因是</w:t>
      </w:r>
      <w:r>
        <w:rPr>
          <w:rFonts w:hint="default" w:ascii="Times New Roman" w:hAnsi="Times New Roman" w:eastAsia="方正仿宋_GBK" w:cs="Times New Roman"/>
          <w:color w:val="auto"/>
          <w:sz w:val="32"/>
          <w:szCs w:val="32"/>
          <w:shd w:val="clear" w:color="auto" w:fill="FFFFFF"/>
          <w:lang w:val="en-US" w:eastAsia="zh-CN"/>
        </w:rPr>
        <w:t>宣传信息项目经费支出</w:t>
      </w:r>
      <w:r>
        <w:rPr>
          <w:rFonts w:hint="default" w:ascii="Times New Roman" w:hAnsi="Times New Roman" w:eastAsia="方正仿宋_GBK" w:cs="Times New Roman"/>
          <w:color w:val="auto"/>
          <w:sz w:val="32"/>
          <w:szCs w:val="32"/>
          <w:lang w:val="en-US" w:eastAsia="zh-CN"/>
        </w:rPr>
        <w:t>积极响应财政过紧日子举措，实际支出比预算少支付4.97万元，公用经费例如办公费也比预算有所节约。</w:t>
      </w:r>
    </w:p>
    <w:p w14:paraId="272FE880">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31.82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14.17</w:t>
      </w:r>
      <w:r>
        <w:rPr>
          <w:rFonts w:hint="default" w:ascii="Times New Roman" w:hAnsi="Times New Roman" w:eastAsia="方正仿宋_GBK" w:cs="Times New Roman"/>
          <w:color w:val="auto"/>
          <w:sz w:val="32"/>
          <w:szCs w:val="32"/>
          <w:shd w:val="clear" w:color="auto" w:fill="FFFFFF"/>
        </w:rPr>
        <w:t>%，较年初预算数增加9.97万元，增长45.6%，主要原因是</w:t>
      </w:r>
      <w:r>
        <w:rPr>
          <w:rFonts w:hint="default" w:ascii="Times New Roman" w:hAnsi="Times New Roman" w:eastAsia="方正仿宋_GBK" w:cs="Times New Roman"/>
          <w:color w:val="auto"/>
          <w:sz w:val="32"/>
          <w:szCs w:val="32"/>
          <w:shd w:val="clear" w:color="auto" w:fill="FFFFFF"/>
          <w:lang w:val="en-US" w:eastAsia="zh-CN"/>
        </w:rPr>
        <w:t>事业编制的超额绩效纳入养老保险导致养老保险基数增加，故社保费用增加。</w:t>
      </w:r>
    </w:p>
    <w:p w14:paraId="0C5906DF">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9.10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4.06</w:t>
      </w:r>
      <w:r>
        <w:rPr>
          <w:rFonts w:hint="default" w:ascii="Times New Roman" w:hAnsi="Times New Roman" w:eastAsia="方正仿宋_GBK" w:cs="Times New Roman"/>
          <w:color w:val="auto"/>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lang w:eastAsia="zh-CN"/>
        </w:rPr>
        <w:t>。</w:t>
      </w:r>
    </w:p>
    <w:p w14:paraId="445B0CC6">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住房保障支出10.92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4.87</w:t>
      </w:r>
      <w:r>
        <w:rPr>
          <w:rFonts w:hint="default" w:ascii="Times New Roman" w:hAnsi="Times New Roman" w:eastAsia="方正仿宋_GBK" w:cs="Times New Roman"/>
          <w:color w:val="auto"/>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lang w:eastAsia="zh-CN"/>
        </w:rPr>
        <w:t>。</w:t>
      </w:r>
    </w:p>
    <w:p w14:paraId="39B38416">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（四）一般公共预算财政拨款基本支出决算情况说明</w:t>
      </w:r>
    </w:p>
    <w:p w14:paraId="5F97C034">
      <w:pPr>
        <w:pStyle w:val="5"/>
        <w:shd w:val="clear" w:color="auto" w:fill="FFFFFF"/>
        <w:spacing w:before="0" w:beforeAutospacing="0" w:after="0" w:afterAutospacing="0"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度一般公共财政拨款基本支出</w:t>
      </w:r>
      <w:r>
        <w:rPr>
          <w:rFonts w:hint="default" w:ascii="Times New Roman" w:hAnsi="Times New Roman" w:eastAsia="方正仿宋_GBK" w:cs="Times New Roman"/>
          <w:color w:val="auto"/>
          <w:sz w:val="32"/>
          <w:szCs w:val="32"/>
        </w:rPr>
        <w:t>219.43</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191.14</w:t>
      </w:r>
      <w:r>
        <w:rPr>
          <w:rFonts w:hint="default" w:ascii="Times New Roman" w:hAnsi="Times New Roman" w:eastAsia="方正仿宋_GBK" w:cs="Times New Roman"/>
          <w:color w:val="auto"/>
          <w:sz w:val="32"/>
          <w:szCs w:val="32"/>
          <w:shd w:val="clear" w:color="auto" w:fill="FFFFFF"/>
        </w:rPr>
        <w:t>万元，与2023年度相比，增加191.14万元，增长100.0%，主要原因是</w:t>
      </w:r>
      <w:r>
        <w:rPr>
          <w:rFonts w:hint="default" w:ascii="Times New Roman" w:hAnsi="Times New Roman" w:eastAsia="方正仿宋_GBK" w:cs="Times New Roman"/>
          <w:color w:val="auto"/>
          <w:sz w:val="32"/>
          <w:szCs w:val="32"/>
        </w:rPr>
        <w:t>本单位为新增预算单位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上年度数据为零，本年度首次进行决算公开。</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rPr>
        <w:t>用于保障在职人员工资福利及社会保险缴费</w:t>
      </w:r>
      <w:r>
        <w:rPr>
          <w:rFonts w:hint="default"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28.29</w:t>
      </w:r>
      <w:r>
        <w:rPr>
          <w:rFonts w:hint="default" w:ascii="Times New Roman" w:hAnsi="Times New Roman" w:eastAsia="方正仿宋_GBK" w:cs="Times New Roman"/>
          <w:color w:val="auto"/>
          <w:sz w:val="32"/>
          <w:szCs w:val="32"/>
          <w:shd w:val="clear" w:color="auto" w:fill="FFFFFF"/>
        </w:rPr>
        <w:t>万元，与2023年度相比，增加28.29万元，增长100.0%，主要原因是</w:t>
      </w:r>
      <w:r>
        <w:rPr>
          <w:rFonts w:hint="default" w:ascii="Times New Roman" w:hAnsi="Times New Roman" w:eastAsia="方正仿宋_GBK" w:cs="Times New Roman"/>
          <w:color w:val="auto"/>
          <w:sz w:val="32"/>
          <w:szCs w:val="32"/>
        </w:rPr>
        <w:t>本单位为新增预算单位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上年度数据为零，本年度首次进行决算公开。</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rPr>
        <w:t>保障部门正常运转的各项商品服务支出。</w:t>
      </w:r>
    </w:p>
    <w:p w14:paraId="34769777">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（五）政府性基金预算收支决算情况说明</w:t>
      </w:r>
    </w:p>
    <w:p w14:paraId="2230C4FC">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color w:val="auto"/>
          <w:sz w:val="32"/>
          <w:szCs w:val="32"/>
          <w:shd w:val="clear" w:color="auto" w:fill="auto"/>
        </w:rPr>
      </w:pPr>
      <w:r>
        <w:rPr>
          <w:rStyle w:val="8"/>
          <w:rFonts w:hint="default" w:ascii="Times New Roman" w:hAnsi="Times New Roman" w:eastAsia="方正仿宋_GBK" w:cs="Times New Roman"/>
          <w:b w:val="0"/>
          <w:bCs/>
          <w:color w:val="auto"/>
          <w:sz w:val="32"/>
          <w:szCs w:val="32"/>
          <w:shd w:val="clear" w:color="auto" w:fill="auto"/>
        </w:rPr>
        <w:t>本单位</w:t>
      </w:r>
      <w:r>
        <w:rPr>
          <w:rStyle w:val="8"/>
          <w:rFonts w:hint="default" w:ascii="Times New Roman" w:hAnsi="Times New Roman" w:eastAsia="方正仿宋_GBK" w:cs="Times New Roman"/>
          <w:b w:val="0"/>
          <w:bCs/>
          <w:color w:val="auto"/>
          <w:sz w:val="32"/>
          <w:szCs w:val="32"/>
          <w:shd w:val="clear" w:color="auto" w:fill="auto"/>
          <w:lang w:eastAsia="zh-CN"/>
        </w:rPr>
        <w:t>2024年</w:t>
      </w:r>
      <w:r>
        <w:rPr>
          <w:rStyle w:val="8"/>
          <w:rFonts w:hint="default" w:ascii="Times New Roman" w:hAnsi="Times New Roman" w:eastAsia="方正仿宋_GBK" w:cs="Times New Roman"/>
          <w:b w:val="0"/>
          <w:bCs/>
          <w:color w:val="auto"/>
          <w:sz w:val="32"/>
          <w:szCs w:val="32"/>
          <w:shd w:val="clear" w:color="auto" w:fill="auto"/>
        </w:rPr>
        <w:t>度无政府性基金预算财政拨款收支。</w:t>
      </w:r>
    </w:p>
    <w:p w14:paraId="798D3A07">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（六）国有资本经营预算财政拨款支出决算情况说明</w:t>
      </w:r>
    </w:p>
    <w:p w14:paraId="40342047">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w:t>
      </w:r>
      <w:r>
        <w:rPr>
          <w:rStyle w:val="8"/>
          <w:rFonts w:hint="default" w:ascii="Times New Roman" w:hAnsi="Times New Roman" w:eastAsia="方正仿宋_GBK" w:cs="Times New Roman"/>
          <w:b w:val="0"/>
          <w:bCs/>
          <w:color w:val="auto"/>
          <w:sz w:val="32"/>
          <w:szCs w:val="32"/>
          <w:shd w:val="clear" w:color="auto" w:fill="auto"/>
        </w:rPr>
        <w:t>本单位</w:t>
      </w:r>
      <w:r>
        <w:rPr>
          <w:rStyle w:val="8"/>
          <w:rFonts w:hint="default" w:ascii="Times New Roman" w:hAnsi="Times New Roman" w:eastAsia="方正仿宋_GBK" w:cs="Times New Roman"/>
          <w:b w:val="0"/>
          <w:bCs/>
          <w:color w:val="auto"/>
          <w:sz w:val="32"/>
          <w:szCs w:val="32"/>
          <w:shd w:val="clear" w:color="auto" w:fill="auto"/>
          <w:lang w:eastAsia="zh-CN"/>
        </w:rPr>
        <w:t>2024年</w:t>
      </w:r>
      <w:r>
        <w:rPr>
          <w:rStyle w:val="8"/>
          <w:rFonts w:hint="default" w:ascii="Times New Roman" w:hAnsi="Times New Roman" w:eastAsia="方正仿宋_GBK" w:cs="Times New Roman"/>
          <w:b w:val="0"/>
          <w:bCs/>
          <w:color w:val="auto"/>
          <w:sz w:val="32"/>
          <w:szCs w:val="32"/>
          <w:shd w:val="clear" w:color="auto" w:fill="auto"/>
        </w:rPr>
        <w:t>度无国有资本经营预算财政拨款支出。</w:t>
      </w:r>
    </w:p>
    <w:p w14:paraId="7607EA2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shd w:val="clear" w:color="auto" w:fill="FFFFFF"/>
        </w:rPr>
      </w:pPr>
      <w:r>
        <w:rPr>
          <w:rStyle w:val="8"/>
          <w:rFonts w:hint="default" w:ascii="Times New Roman" w:hAnsi="Times New Roman" w:eastAsia="黑体" w:cs="Times New Roman"/>
          <w:color w:val="auto"/>
          <w:sz w:val="32"/>
          <w:szCs w:val="32"/>
          <w:shd w:val="clear" w:color="auto" w:fill="FFFFFF"/>
        </w:rPr>
        <w:t>三、</w:t>
      </w:r>
      <w:r>
        <w:rPr>
          <w:rStyle w:val="8"/>
          <w:rFonts w:hint="default" w:ascii="Times New Roman" w:hAnsi="Times New Roman" w:eastAsia="黑体" w:cs="Times New Roman"/>
          <w:color w:val="auto"/>
          <w:sz w:val="32"/>
          <w:szCs w:val="32"/>
          <w:shd w:val="clear" w:color="auto" w:fill="FFFFFF"/>
          <w:lang w:eastAsia="zh-CN"/>
        </w:rPr>
        <w:t>财政拨款</w:t>
      </w:r>
      <w:r>
        <w:rPr>
          <w:rStyle w:val="8"/>
          <w:rFonts w:hint="default" w:ascii="Times New Roman" w:hAnsi="Times New Roman" w:eastAsia="黑体" w:cs="Times New Roman"/>
          <w:color w:val="auto"/>
          <w:sz w:val="32"/>
          <w:szCs w:val="32"/>
          <w:shd w:val="clear" w:color="auto" w:fill="FFFFFF"/>
        </w:rPr>
        <w:t>“三公”经费情况说明</w:t>
      </w:r>
    </w:p>
    <w:p w14:paraId="15AF6E22">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color w:val="auto"/>
          <w:sz w:val="32"/>
          <w:szCs w:val="32"/>
          <w:shd w:val="clear" w:color="auto" w:fill="auto"/>
        </w:rPr>
      </w:pPr>
      <w:r>
        <w:rPr>
          <w:rStyle w:val="8"/>
          <w:rFonts w:hint="default" w:ascii="Times New Roman" w:hAnsi="Times New Roman" w:eastAsia="方正仿宋_GBK" w:cs="Times New Roman"/>
          <w:b w:val="0"/>
          <w:bCs/>
          <w:color w:val="auto"/>
          <w:sz w:val="32"/>
          <w:szCs w:val="32"/>
          <w:shd w:val="clear" w:color="auto" w:fill="auto"/>
        </w:rPr>
        <w:t>我单位属于</w:t>
      </w:r>
      <w:r>
        <w:rPr>
          <w:rStyle w:val="8"/>
          <w:rFonts w:hint="eastAsia" w:ascii="Times New Roman" w:hAnsi="Times New Roman" w:eastAsia="方正仿宋_GBK" w:cs="Times New Roman"/>
          <w:b w:val="0"/>
          <w:bCs/>
          <w:color w:val="auto"/>
          <w:sz w:val="32"/>
          <w:szCs w:val="32"/>
          <w:shd w:val="clear" w:color="auto" w:fill="auto"/>
          <w:lang w:val="en-US" w:eastAsia="zh-CN"/>
        </w:rPr>
        <w:t>县人大常委会办公室</w:t>
      </w:r>
      <w:r>
        <w:rPr>
          <w:rStyle w:val="8"/>
          <w:rFonts w:hint="default" w:ascii="Times New Roman" w:hAnsi="Times New Roman" w:eastAsia="方正仿宋_GBK" w:cs="Times New Roman"/>
          <w:b w:val="0"/>
          <w:bCs/>
          <w:color w:val="auto"/>
          <w:sz w:val="32"/>
          <w:szCs w:val="32"/>
          <w:shd w:val="clear" w:color="auto" w:fill="auto"/>
          <w:lang w:val="en-US" w:eastAsia="zh-CN"/>
        </w:rPr>
        <w:t>下设事业单位</w:t>
      </w:r>
      <w:r>
        <w:rPr>
          <w:rStyle w:val="8"/>
          <w:rFonts w:hint="default" w:ascii="Times New Roman" w:hAnsi="Times New Roman" w:eastAsia="方正仿宋_GBK" w:cs="Times New Roman"/>
          <w:b w:val="0"/>
          <w:bCs/>
          <w:color w:val="auto"/>
          <w:sz w:val="32"/>
          <w:szCs w:val="32"/>
          <w:shd w:val="clear" w:color="auto" w:fill="auto"/>
        </w:rPr>
        <w:t>，财政未保障我单位“三公”经费。</w:t>
      </w:r>
    </w:p>
    <w:p w14:paraId="39ABC5D5">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 xml:space="preserve"> （一）“三公”经费支出总体情况说明</w:t>
      </w:r>
    </w:p>
    <w:p w14:paraId="2CC9632F">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度“三公”经费支出共计</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万元，较年初预算数无增减。较上年支出数无增减</w:t>
      </w:r>
      <w:r>
        <w:rPr>
          <w:rFonts w:hint="default" w:ascii="Times New Roman" w:hAnsi="Times New Roman" w:eastAsia="方正仿宋_GBK" w:cs="Times New Roman"/>
          <w:color w:val="auto"/>
          <w:sz w:val="32"/>
          <w:szCs w:val="32"/>
          <w:shd w:val="clear" w:color="auto" w:fill="FFFFFF"/>
          <w:lang w:eastAsia="zh-CN"/>
        </w:rPr>
        <w:t>。</w:t>
      </w:r>
    </w:p>
    <w:p w14:paraId="6CCEED98">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（二）“三公”经费分项支出情况</w:t>
      </w:r>
    </w:p>
    <w:p w14:paraId="3BA1991D">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与2023年度相比，无增减</w:t>
      </w:r>
      <w:r>
        <w:rPr>
          <w:rFonts w:hint="default" w:ascii="Times New Roman" w:hAnsi="Times New Roman" w:eastAsia="方正仿宋_GBK" w:cs="Times New Roman"/>
          <w:color w:val="auto"/>
          <w:sz w:val="32"/>
          <w:szCs w:val="32"/>
          <w:shd w:val="clear" w:color="auto" w:fill="FFFFFF"/>
          <w:lang w:eastAsia="zh-CN"/>
        </w:rPr>
        <w:t>。</w:t>
      </w:r>
    </w:p>
    <w:p w14:paraId="3797EE26">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费用支出较年初预算数无增减。与2023年度相比，无增减</w:t>
      </w:r>
      <w:r>
        <w:rPr>
          <w:rFonts w:hint="default" w:ascii="Times New Roman" w:hAnsi="Times New Roman" w:eastAsia="方正仿宋_GBK" w:cs="Times New Roman"/>
          <w:color w:val="auto"/>
          <w:sz w:val="32"/>
          <w:szCs w:val="32"/>
          <w:shd w:val="clear" w:color="auto" w:fill="FFFFFF"/>
          <w:lang w:eastAsia="zh-CN"/>
        </w:rPr>
        <w:t>。</w:t>
      </w:r>
    </w:p>
    <w:p w14:paraId="4489E28F">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万元，费用支出较年初预算数无增减，与2023年度相比，无增减</w:t>
      </w:r>
      <w:r>
        <w:rPr>
          <w:rFonts w:hint="default" w:ascii="Times New Roman" w:hAnsi="Times New Roman" w:eastAsia="方正仿宋_GBK" w:cs="Times New Roman"/>
          <w:color w:val="auto"/>
          <w:sz w:val="32"/>
          <w:szCs w:val="32"/>
          <w:shd w:val="clear" w:color="auto" w:fill="FFFFFF"/>
          <w:lang w:eastAsia="zh-CN"/>
        </w:rPr>
        <w:t>。</w:t>
      </w:r>
    </w:p>
    <w:p w14:paraId="5FDABAB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r>
        <w:rPr>
          <w:rFonts w:hint="default" w:ascii="Times New Roman" w:hAnsi="Times New Roman" w:eastAsia="方正仿宋_GBK" w:cs="Times New Roman"/>
          <w:color w:val="auto"/>
          <w:sz w:val="32"/>
          <w:szCs w:val="32"/>
          <w:shd w:val="clear" w:color="auto" w:fill="FFFFFF"/>
          <w:lang w:eastAsia="zh-CN"/>
        </w:rPr>
        <w:t>。</w:t>
      </w:r>
    </w:p>
    <w:p w14:paraId="3577A22C">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（三）“三公”经费实物量情况</w:t>
      </w:r>
    </w:p>
    <w:p w14:paraId="63D75147">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本单位人均接待费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w:t>
      </w:r>
    </w:p>
    <w:p w14:paraId="6C895E8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shd w:val="clear" w:color="auto" w:fill="FFFFFF"/>
        </w:rPr>
      </w:pPr>
      <w:r>
        <w:rPr>
          <w:rStyle w:val="8"/>
          <w:rFonts w:hint="default" w:ascii="Times New Roman" w:hAnsi="Times New Roman" w:eastAsia="黑体" w:cs="Times New Roman"/>
          <w:color w:val="auto"/>
          <w:sz w:val="32"/>
          <w:szCs w:val="32"/>
          <w:shd w:val="clear" w:color="auto" w:fill="FFFFFF"/>
        </w:rPr>
        <w:t>四、其他需要说明的事项</w:t>
      </w:r>
    </w:p>
    <w:p w14:paraId="7F7EEEDA">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 xml:space="preserve"> （一）财政拨款会议费和培训费情况说明</w:t>
      </w:r>
    </w:p>
    <w:p w14:paraId="5EAADCBE">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我</w:t>
      </w:r>
      <w:r>
        <w:rPr>
          <w:rFonts w:hint="default" w:ascii="Times New Roman" w:hAnsi="Times New Roman" w:eastAsia="方正仿宋_GBK" w:cs="Times New Roman"/>
          <w:color w:val="auto"/>
          <w:sz w:val="32"/>
          <w:szCs w:val="32"/>
        </w:rPr>
        <w:t>单位为巫溪县人大常委会办公室附属单位，合并办公，财政未保障我单位会议费和培训费。</w:t>
      </w:r>
    </w:p>
    <w:p w14:paraId="02145AF1">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（二）机关运行经费情况说明</w:t>
      </w:r>
    </w:p>
    <w:p w14:paraId="11BDA333">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我</w:t>
      </w:r>
      <w:r>
        <w:rPr>
          <w:rFonts w:hint="default" w:ascii="Times New Roman" w:hAnsi="Times New Roman" w:eastAsia="方正仿宋_GBK" w:cs="Times New Roman"/>
          <w:color w:val="auto"/>
          <w:sz w:val="32"/>
          <w:szCs w:val="32"/>
        </w:rPr>
        <w:t>单位为巫溪县人大常委会办公室附属单位，合并办公，财政未保障我单位机关运行经费。</w:t>
      </w:r>
    </w:p>
    <w:p w14:paraId="0E548684">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（三）国有资产占用情况说明</w:t>
      </w:r>
    </w:p>
    <w:p w14:paraId="69769E7D">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我</w:t>
      </w:r>
      <w:r>
        <w:rPr>
          <w:rFonts w:hint="default" w:ascii="Times New Roman" w:hAnsi="Times New Roman" w:eastAsia="方正仿宋_GBK" w:cs="Times New Roman"/>
          <w:color w:val="auto"/>
          <w:sz w:val="32"/>
          <w:szCs w:val="32"/>
        </w:rPr>
        <w:t>单位为巫溪县人大常委会办公室附属单位，合并办公，我单位资产未纳入部门决算报表。</w:t>
      </w:r>
    </w:p>
    <w:p w14:paraId="310C82FC">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（四）政府采购支出情况说明</w:t>
      </w:r>
    </w:p>
    <w:p w14:paraId="3EAB9BEF">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14:paraId="09E26C6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shd w:val="clear" w:color="auto" w:fill="FFFFFF"/>
          <w:lang w:val="en-US" w:eastAsia="zh-CN" w:bidi="ar-SA"/>
        </w:rPr>
      </w:pPr>
      <w:r>
        <w:rPr>
          <w:rStyle w:val="8"/>
          <w:rFonts w:hint="default" w:ascii="Times New Roman" w:hAnsi="Times New Roman" w:eastAsia="黑体" w:cs="Times New Roman"/>
          <w:color w:val="auto"/>
          <w:sz w:val="32"/>
          <w:szCs w:val="32"/>
          <w:shd w:val="clear" w:color="auto" w:fill="FFFFFF"/>
          <w:lang w:val="en-US" w:eastAsia="zh-CN" w:bidi="ar-SA"/>
        </w:rPr>
        <w:t>五、2024年度预算绩效管理情况说明</w:t>
      </w:r>
    </w:p>
    <w:p w14:paraId="3670F11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default" w:ascii="Times New Roman" w:hAnsi="Times New Roman" w:eastAsia="楷体" w:cs="Times New Roman"/>
          <w:b/>
          <w:bCs/>
          <w:color w:val="auto"/>
          <w:kern w:val="0"/>
          <w:sz w:val="32"/>
          <w:szCs w:val="32"/>
          <w:shd w:val="clear" w:fill="FFFFFF"/>
        </w:rPr>
      </w:pPr>
      <w:r>
        <w:rPr>
          <w:rFonts w:hint="default" w:ascii="Times New Roman" w:hAnsi="Times New Roman" w:eastAsia="楷体" w:cs="Times New Roman"/>
          <w:b/>
          <w:bCs/>
          <w:color w:val="auto"/>
          <w:kern w:val="0"/>
          <w:sz w:val="32"/>
          <w:szCs w:val="32"/>
          <w:shd w:val="clear" w:fill="FFFFFF"/>
        </w:rPr>
        <w:t>（一）单位自评情况</w:t>
      </w:r>
    </w:p>
    <w:p w14:paraId="66E7FF2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color w:val="auto"/>
          <w:kern w:val="0"/>
          <w:sz w:val="32"/>
          <w:szCs w:val="32"/>
          <w:shd w:val="clear" w:fill="FFFFFF"/>
          <w:lang w:val="en-US" w:eastAsia="zh-CN"/>
        </w:rPr>
      </w:pPr>
      <w:r>
        <w:rPr>
          <w:rFonts w:hint="default" w:ascii="Times New Roman" w:hAnsi="Times New Roman" w:eastAsia="方正仿宋_GBK" w:cs="Times New Roman"/>
          <w:color w:val="auto"/>
          <w:kern w:val="0"/>
          <w:sz w:val="32"/>
          <w:szCs w:val="32"/>
          <w:shd w:val="clear" w:fill="FFFFFF"/>
        </w:rPr>
        <w:t>根据预算绩效管理要求，我单位和</w:t>
      </w:r>
      <w:r>
        <w:rPr>
          <w:rFonts w:hint="default" w:ascii="Times New Roman" w:hAnsi="Times New Roman" w:eastAsia="方正仿宋_GBK" w:cs="Times New Roman"/>
          <w:color w:val="auto"/>
          <w:kern w:val="0"/>
          <w:sz w:val="32"/>
          <w:szCs w:val="32"/>
          <w:shd w:val="clear" w:fill="FFFFFF"/>
          <w:lang w:val="en-US" w:eastAsia="zh-CN"/>
        </w:rPr>
        <w:t>1</w:t>
      </w:r>
      <w:r>
        <w:rPr>
          <w:rFonts w:hint="default" w:ascii="Times New Roman" w:hAnsi="Times New Roman" w:eastAsia="方正仿宋_GBK" w:cs="Times New Roman"/>
          <w:color w:val="auto"/>
          <w:kern w:val="0"/>
          <w:sz w:val="32"/>
          <w:szCs w:val="32"/>
          <w:shd w:val="clear" w:fill="FFFFFF"/>
        </w:rPr>
        <w:t>个二级项目开展了绩效自评，涉及财政拨款项目支出资金</w:t>
      </w:r>
      <w:r>
        <w:rPr>
          <w:rFonts w:hint="default" w:ascii="Times New Roman" w:hAnsi="Times New Roman" w:eastAsia="方正仿宋_GBK" w:cs="Times New Roman"/>
          <w:color w:val="auto"/>
          <w:kern w:val="0"/>
          <w:sz w:val="32"/>
          <w:szCs w:val="32"/>
          <w:shd w:val="clear" w:fill="FFFFFF"/>
          <w:lang w:val="en-US" w:eastAsia="zh-CN"/>
        </w:rPr>
        <w:t>5.03</w:t>
      </w:r>
      <w:r>
        <w:rPr>
          <w:rFonts w:hint="default" w:ascii="Times New Roman" w:hAnsi="Times New Roman" w:eastAsia="方正仿宋_GBK" w:cs="Times New Roman"/>
          <w:color w:val="auto"/>
          <w:kern w:val="0"/>
          <w:sz w:val="32"/>
          <w:szCs w:val="32"/>
          <w:shd w:val="clear" w:fill="FFFFFF"/>
        </w:rPr>
        <w:t>万元</w:t>
      </w:r>
      <w:r>
        <w:rPr>
          <w:rFonts w:hint="default" w:ascii="Times New Roman" w:hAnsi="Times New Roman" w:eastAsia="方正仿宋_GBK" w:cs="Times New Roman"/>
          <w:color w:val="auto"/>
          <w:kern w:val="0"/>
          <w:sz w:val="32"/>
          <w:szCs w:val="32"/>
          <w:shd w:val="clear" w:fill="FFFFFF"/>
          <w:lang w:eastAsia="zh-CN"/>
        </w:rPr>
        <w:t>。</w:t>
      </w:r>
    </w:p>
    <w:p w14:paraId="418283D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bCs/>
          <w:color w:val="auto"/>
          <w:kern w:val="0"/>
          <w:sz w:val="32"/>
          <w:szCs w:val="32"/>
          <w:shd w:val="clear" w:fill="FFFFFF"/>
        </w:rPr>
      </w:pPr>
    </w:p>
    <w:p w14:paraId="1ECD552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bCs/>
          <w:color w:val="auto"/>
          <w:kern w:val="0"/>
          <w:sz w:val="32"/>
          <w:szCs w:val="32"/>
          <w:shd w:val="clear" w:fill="FFFFFF"/>
        </w:rPr>
      </w:pPr>
    </w:p>
    <w:p w14:paraId="38A7987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bCs/>
          <w:color w:val="auto"/>
          <w:kern w:val="0"/>
          <w:sz w:val="32"/>
          <w:szCs w:val="32"/>
          <w:shd w:val="clear" w:fill="FFFFFF"/>
        </w:rPr>
      </w:pPr>
    </w:p>
    <w:p w14:paraId="60D5F99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bCs/>
          <w:color w:val="auto"/>
          <w:kern w:val="0"/>
          <w:sz w:val="32"/>
          <w:szCs w:val="32"/>
          <w:shd w:val="clear" w:fill="FFFFFF"/>
        </w:rPr>
      </w:pPr>
    </w:p>
    <w:p w14:paraId="0F93B86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bCs/>
          <w:color w:val="auto"/>
          <w:kern w:val="0"/>
          <w:sz w:val="32"/>
          <w:szCs w:val="32"/>
          <w:shd w:val="clear" w:fill="FFFFFF"/>
        </w:rPr>
      </w:pPr>
    </w:p>
    <w:p w14:paraId="1E2DC8D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bCs/>
          <w:color w:val="auto"/>
          <w:kern w:val="0"/>
          <w:sz w:val="32"/>
          <w:szCs w:val="32"/>
          <w:shd w:val="clear" w:fill="FFFFFF"/>
        </w:rPr>
      </w:pPr>
    </w:p>
    <w:p w14:paraId="3AD68EA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bCs/>
          <w:color w:val="auto"/>
          <w:kern w:val="0"/>
          <w:sz w:val="32"/>
          <w:szCs w:val="32"/>
          <w:shd w:val="clear" w:fill="FFFFFF"/>
        </w:rPr>
      </w:pPr>
    </w:p>
    <w:p w14:paraId="7B02D34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bCs/>
          <w:color w:val="auto"/>
          <w:kern w:val="0"/>
          <w:sz w:val="32"/>
          <w:szCs w:val="32"/>
          <w:shd w:val="clear" w:fill="FFFFFF"/>
        </w:rPr>
      </w:pPr>
    </w:p>
    <w:p w14:paraId="01BA970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bCs/>
          <w:color w:val="auto"/>
          <w:kern w:val="0"/>
          <w:sz w:val="32"/>
          <w:szCs w:val="32"/>
          <w:shd w:val="clear" w:fill="FFFFFF"/>
        </w:rPr>
      </w:pPr>
    </w:p>
    <w:p w14:paraId="5275EAB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bCs/>
          <w:color w:val="auto"/>
          <w:kern w:val="0"/>
          <w:sz w:val="32"/>
          <w:szCs w:val="32"/>
          <w:shd w:val="clear" w:fill="FFFFFF"/>
        </w:rPr>
      </w:pPr>
    </w:p>
    <w:p w14:paraId="5BDFF6B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bCs/>
          <w:color w:val="auto"/>
          <w:kern w:val="0"/>
          <w:sz w:val="32"/>
          <w:szCs w:val="32"/>
          <w:shd w:val="clear" w:fill="FFFFFF"/>
        </w:rPr>
      </w:pPr>
    </w:p>
    <w:p w14:paraId="53BEDF3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bCs/>
          <w:color w:val="auto"/>
          <w:kern w:val="0"/>
          <w:sz w:val="32"/>
          <w:szCs w:val="32"/>
          <w:shd w:val="clear" w:fill="FFFFFF"/>
        </w:rPr>
      </w:pPr>
    </w:p>
    <w:p w14:paraId="6D6E15D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bCs/>
          <w:color w:val="auto"/>
          <w:kern w:val="0"/>
          <w:sz w:val="32"/>
          <w:szCs w:val="32"/>
          <w:shd w:val="clear" w:fill="FFFFFF"/>
        </w:rPr>
      </w:pPr>
    </w:p>
    <w:p w14:paraId="409E558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bCs/>
          <w:color w:val="auto"/>
          <w:kern w:val="0"/>
          <w:sz w:val="32"/>
          <w:szCs w:val="32"/>
          <w:shd w:val="clear" w:fill="FFFFFF"/>
        </w:rPr>
      </w:pPr>
    </w:p>
    <w:p w14:paraId="5271782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bCs/>
          <w:color w:val="auto"/>
          <w:kern w:val="0"/>
          <w:sz w:val="32"/>
          <w:szCs w:val="32"/>
          <w:shd w:val="clear" w:fill="FFFFFF"/>
        </w:rPr>
      </w:pPr>
    </w:p>
    <w:p w14:paraId="0B58CBA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bCs/>
          <w:color w:val="auto"/>
          <w:kern w:val="0"/>
          <w:sz w:val="32"/>
          <w:szCs w:val="32"/>
          <w:shd w:val="clear" w:fill="FFFFFF"/>
        </w:rPr>
      </w:pPr>
    </w:p>
    <w:p w14:paraId="26E2C2D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bCs/>
          <w:color w:val="auto"/>
          <w:kern w:val="0"/>
          <w:sz w:val="32"/>
          <w:szCs w:val="32"/>
          <w:shd w:val="clear" w:fill="FFFFFF"/>
        </w:rPr>
      </w:pPr>
    </w:p>
    <w:p w14:paraId="2189FC7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bCs/>
          <w:color w:val="auto"/>
          <w:kern w:val="0"/>
          <w:sz w:val="32"/>
          <w:szCs w:val="32"/>
          <w:shd w:val="clear" w:fill="FFFFFF"/>
        </w:rPr>
      </w:pPr>
    </w:p>
    <w:p w14:paraId="71AFEC4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bCs/>
          <w:color w:val="auto"/>
          <w:kern w:val="0"/>
          <w:sz w:val="32"/>
          <w:szCs w:val="32"/>
          <w:shd w:val="clear" w:fill="FFFFFF"/>
        </w:rPr>
      </w:pPr>
    </w:p>
    <w:p w14:paraId="3137724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bCs/>
          <w:color w:val="auto"/>
          <w:kern w:val="0"/>
          <w:sz w:val="32"/>
          <w:szCs w:val="32"/>
          <w:shd w:val="clear" w:fill="FFFFFF"/>
        </w:rPr>
      </w:pPr>
    </w:p>
    <w:p w14:paraId="520E119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bCs/>
          <w:color w:val="auto"/>
          <w:kern w:val="0"/>
          <w:sz w:val="32"/>
          <w:szCs w:val="32"/>
          <w:shd w:val="clear" w:fill="FFFFFF"/>
        </w:rPr>
      </w:pPr>
    </w:p>
    <w:p w14:paraId="26163B4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bCs/>
          <w:color w:val="auto"/>
          <w:kern w:val="0"/>
          <w:sz w:val="32"/>
          <w:szCs w:val="32"/>
          <w:shd w:val="clear" w:fill="FFFFFF"/>
        </w:rPr>
      </w:pPr>
      <w:r>
        <w:rPr>
          <w:rFonts w:hint="default" w:ascii="Times New Roman" w:hAnsi="Times New Roman" w:eastAsia="方正仿宋_GBK" w:cs="Times New Roman"/>
          <w:b/>
          <w:bCs/>
          <w:color w:val="auto"/>
          <w:kern w:val="0"/>
          <w:sz w:val="32"/>
          <w:szCs w:val="32"/>
          <w:shd w:val="clear" w:fill="FFFFFF"/>
        </w:rPr>
        <w:t>项目支出绩效自评表</w:t>
      </w:r>
    </w:p>
    <w:tbl>
      <w:tblPr>
        <w:tblStyle w:val="6"/>
        <w:tblW w:w="5717" w:type="pct"/>
        <w:tblInd w:w="-6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2"/>
        <w:gridCol w:w="1068"/>
        <w:gridCol w:w="1064"/>
        <w:gridCol w:w="843"/>
        <w:gridCol w:w="672"/>
        <w:gridCol w:w="705"/>
        <w:gridCol w:w="794"/>
        <w:gridCol w:w="575"/>
        <w:gridCol w:w="571"/>
        <w:gridCol w:w="751"/>
        <w:gridCol w:w="1321"/>
      </w:tblGrid>
      <w:tr w14:paraId="139E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3652">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40"/>
                <w:szCs w:val="40"/>
                <w:u w:val="none"/>
              </w:rPr>
            </w:pPr>
            <w:r>
              <w:rPr>
                <w:rFonts w:hint="default" w:ascii="Times New Roman" w:hAnsi="Times New Roman" w:eastAsia="微软雅黑" w:cs="Times New Roman"/>
                <w:b/>
                <w:bCs/>
                <w:i w:val="0"/>
                <w:iCs w:val="0"/>
                <w:color w:val="auto"/>
                <w:kern w:val="0"/>
                <w:sz w:val="40"/>
                <w:szCs w:val="40"/>
                <w:u w:val="none"/>
                <w:lang w:val="en-US" w:eastAsia="zh-CN" w:bidi="ar"/>
              </w:rPr>
              <w:t>2024年度二级项目绩效自评表</w:t>
            </w:r>
          </w:p>
        </w:tc>
      </w:tr>
      <w:tr w14:paraId="72DF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E439">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单位：万元</w:t>
            </w:r>
          </w:p>
        </w:tc>
      </w:tr>
      <w:tr w14:paraId="7E9ED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54EE">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项目名称：</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673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2024年人大宣传信息中心支出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053D">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项目编码：</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17A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50023824T000004211992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5150">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自评总分：</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291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8541">
            <w:pPr>
              <w:jc w:val="right"/>
              <w:rPr>
                <w:rFonts w:hint="default" w:ascii="Times New Roman" w:hAnsi="Times New Roman" w:eastAsia="宋体" w:cs="Times New Roman"/>
                <w:b/>
                <w:bCs/>
                <w:i w:val="0"/>
                <w:iCs w:val="0"/>
                <w:color w:val="auto"/>
                <w:sz w:val="18"/>
                <w:szCs w:val="18"/>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DACC">
            <w:pPr>
              <w:rPr>
                <w:rFonts w:hint="default" w:ascii="Times New Roman" w:hAnsi="Times New Roman" w:eastAsia="宋体" w:cs="Times New Roman"/>
                <w:i w:val="0"/>
                <w:iCs w:val="0"/>
                <w:color w:val="auto"/>
                <w:sz w:val="18"/>
                <w:szCs w:val="18"/>
                <w:u w:val="none"/>
              </w:rPr>
            </w:pPr>
          </w:p>
        </w:tc>
      </w:tr>
      <w:tr w14:paraId="3528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C480">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项目主管部门：</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745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003-巫溪县人民代表大会常务委员会办公室</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9D5C">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财政归口处室：</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233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005-行财科</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DE1F">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部门联系人：</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00F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曹雪莲</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06AD">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联系电话：</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2F8B">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13452177770</w:t>
            </w:r>
          </w:p>
        </w:tc>
      </w:tr>
      <w:tr w14:paraId="7DD1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2388">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18"/>
                <w:szCs w:val="18"/>
                <w:u w:val="none"/>
              </w:rPr>
            </w:pPr>
            <w:r>
              <w:rPr>
                <w:rFonts w:hint="default" w:ascii="Times New Roman" w:hAnsi="Times New Roman" w:eastAsia="微软雅黑" w:cs="Times New Roman"/>
                <w:b/>
                <w:bCs/>
                <w:i w:val="0"/>
                <w:iCs w:val="0"/>
                <w:color w:val="auto"/>
                <w:kern w:val="0"/>
                <w:sz w:val="18"/>
                <w:szCs w:val="18"/>
                <w:u w:val="none"/>
                <w:lang w:val="en-US" w:eastAsia="zh-CN" w:bidi="ar"/>
              </w:rPr>
              <w:t>资金情况</w:t>
            </w:r>
          </w:p>
        </w:tc>
      </w:tr>
      <w:tr w14:paraId="4BCC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CCFA">
            <w:pPr>
              <w:jc w:val="center"/>
              <w:rPr>
                <w:rFonts w:hint="default" w:ascii="Times New Roman" w:hAnsi="Times New Roman" w:eastAsia="宋体" w:cs="Times New Roman"/>
                <w:i w:val="0"/>
                <w:iCs w:val="0"/>
                <w:color w:val="auto"/>
                <w:sz w:val="18"/>
                <w:szCs w:val="18"/>
                <w:u w:val="none"/>
              </w:rPr>
            </w:pP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EB3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年初预算数</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228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全年（调整）预算数</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DFF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全年执行数</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773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执行率</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AFA0">
            <w:pPr>
              <w:keepNext w:val="0"/>
              <w:keepLines w:val="0"/>
              <w:widowControl/>
              <w:suppressLineNumbers w:val="0"/>
              <w:jc w:val="lef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执行率权重</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6A3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执行率得分</w:t>
            </w:r>
          </w:p>
        </w:tc>
      </w:tr>
      <w:tr w14:paraId="18B6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3" w:type="pct"/>
            <w:tcBorders>
              <w:top w:val="single" w:color="000000" w:sz="4" w:space="0"/>
              <w:left w:val="single" w:color="000000" w:sz="4" w:space="0"/>
              <w:bottom w:val="single" w:color="000000" w:sz="4" w:space="0"/>
              <w:right w:val="nil"/>
            </w:tcBorders>
            <w:shd w:val="clear" w:color="auto" w:fill="auto"/>
            <w:vAlign w:val="center"/>
          </w:tcPr>
          <w:p w14:paraId="007348DB">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年度总金额</w:t>
            </w:r>
          </w:p>
        </w:tc>
        <w:tc>
          <w:tcPr>
            <w:tcW w:w="547" w:type="pct"/>
            <w:tcBorders>
              <w:top w:val="single" w:color="000000" w:sz="4" w:space="0"/>
              <w:left w:val="nil"/>
              <w:bottom w:val="single" w:color="000000" w:sz="4" w:space="0"/>
              <w:right w:val="single" w:color="000000" w:sz="4" w:space="0"/>
            </w:tcBorders>
            <w:shd w:val="clear" w:color="auto" w:fill="auto"/>
            <w:noWrap/>
            <w:vAlign w:val="center"/>
          </w:tcPr>
          <w:p w14:paraId="29505D2B">
            <w:pPr>
              <w:rPr>
                <w:rFonts w:hint="default" w:ascii="Times New Roman" w:hAnsi="Times New Roman" w:eastAsia="宋体" w:cs="Times New Roman"/>
                <w:i w:val="0"/>
                <w:iCs w:val="0"/>
                <w:color w:val="auto"/>
                <w:sz w:val="18"/>
                <w:szCs w:val="18"/>
                <w:u w:val="none"/>
              </w:rPr>
            </w:pP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C8E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10.00 </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445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5.03 </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E26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5.03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BFF2">
            <w:pPr>
              <w:rPr>
                <w:rFonts w:hint="default" w:ascii="Times New Roman" w:hAnsi="Times New Roman" w:eastAsia="宋体" w:cs="Times New Roman"/>
                <w:i w:val="0"/>
                <w:iCs w:val="0"/>
                <w:color w:val="auto"/>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3C64">
            <w:pPr>
              <w:rPr>
                <w:rFonts w:hint="default" w:ascii="Times New Roman" w:hAnsi="Times New Roman" w:eastAsia="宋体" w:cs="Times New Roman"/>
                <w:i w:val="0"/>
                <w:iCs w:val="0"/>
                <w:color w:val="auto"/>
                <w:sz w:val="18"/>
                <w:szCs w:val="18"/>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0ADD">
            <w:pPr>
              <w:jc w:val="right"/>
              <w:rPr>
                <w:rFonts w:hint="default" w:ascii="Times New Roman" w:hAnsi="Times New Roman" w:eastAsia="宋体" w:cs="Times New Roman"/>
                <w:i w:val="0"/>
                <w:iCs w:val="0"/>
                <w:color w:val="auto"/>
                <w:sz w:val="18"/>
                <w:szCs w:val="18"/>
                <w:u w:val="none"/>
              </w:rPr>
            </w:pPr>
          </w:p>
        </w:tc>
      </w:tr>
      <w:tr w14:paraId="203D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3" w:type="pct"/>
            <w:tcBorders>
              <w:top w:val="single" w:color="000000" w:sz="4" w:space="0"/>
              <w:left w:val="single" w:color="000000" w:sz="4" w:space="0"/>
              <w:bottom w:val="single" w:color="000000" w:sz="4" w:space="0"/>
              <w:right w:val="nil"/>
            </w:tcBorders>
            <w:shd w:val="clear" w:color="auto" w:fill="auto"/>
            <w:vAlign w:val="center"/>
          </w:tcPr>
          <w:p w14:paraId="525D43E0">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其中：财政拨款</w:t>
            </w:r>
          </w:p>
        </w:tc>
        <w:tc>
          <w:tcPr>
            <w:tcW w:w="547" w:type="pct"/>
            <w:tcBorders>
              <w:top w:val="single" w:color="000000" w:sz="4" w:space="0"/>
              <w:left w:val="nil"/>
              <w:bottom w:val="single" w:color="000000" w:sz="4" w:space="0"/>
              <w:right w:val="single" w:color="000000" w:sz="4" w:space="0"/>
            </w:tcBorders>
            <w:shd w:val="clear" w:color="auto" w:fill="auto"/>
            <w:noWrap/>
            <w:vAlign w:val="center"/>
          </w:tcPr>
          <w:p w14:paraId="6987EFCC">
            <w:pPr>
              <w:rPr>
                <w:rFonts w:hint="default" w:ascii="Times New Roman" w:hAnsi="Times New Roman" w:eastAsia="宋体" w:cs="Times New Roman"/>
                <w:i w:val="0"/>
                <w:iCs w:val="0"/>
                <w:color w:val="auto"/>
                <w:sz w:val="18"/>
                <w:szCs w:val="18"/>
                <w:u w:val="none"/>
              </w:rPr>
            </w:pP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D34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10.00 </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F5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5.03 </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502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5.03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C59F">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4A88">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10.00</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B74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10.00 </w:t>
            </w:r>
          </w:p>
        </w:tc>
      </w:tr>
      <w:tr w14:paraId="16A0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3" w:type="pct"/>
            <w:tcBorders>
              <w:top w:val="single" w:color="000000" w:sz="4" w:space="0"/>
              <w:left w:val="single" w:color="000000" w:sz="4" w:space="0"/>
              <w:bottom w:val="single" w:color="000000" w:sz="4" w:space="0"/>
              <w:right w:val="nil"/>
            </w:tcBorders>
            <w:shd w:val="clear" w:color="auto" w:fill="auto"/>
            <w:vAlign w:val="center"/>
          </w:tcPr>
          <w:p w14:paraId="574B0926">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一般公共预算</w:t>
            </w:r>
          </w:p>
        </w:tc>
        <w:tc>
          <w:tcPr>
            <w:tcW w:w="547" w:type="pct"/>
            <w:tcBorders>
              <w:top w:val="single" w:color="000000" w:sz="4" w:space="0"/>
              <w:left w:val="nil"/>
              <w:bottom w:val="single" w:color="000000" w:sz="4" w:space="0"/>
              <w:right w:val="single" w:color="000000" w:sz="4" w:space="0"/>
            </w:tcBorders>
            <w:shd w:val="clear" w:color="auto" w:fill="auto"/>
            <w:noWrap/>
            <w:vAlign w:val="center"/>
          </w:tcPr>
          <w:p w14:paraId="260A611D">
            <w:pPr>
              <w:rPr>
                <w:rFonts w:hint="default" w:ascii="Times New Roman" w:hAnsi="Times New Roman" w:eastAsia="宋体" w:cs="Times New Roman"/>
                <w:i w:val="0"/>
                <w:iCs w:val="0"/>
                <w:color w:val="auto"/>
                <w:sz w:val="18"/>
                <w:szCs w:val="18"/>
                <w:u w:val="none"/>
              </w:rPr>
            </w:pP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198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10.00 </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B39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5.03 </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23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5.03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83BA">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CEE0">
            <w:pPr>
              <w:rPr>
                <w:rFonts w:hint="default" w:ascii="Times New Roman" w:hAnsi="Times New Roman" w:eastAsia="宋体" w:cs="Times New Roman"/>
                <w:i w:val="0"/>
                <w:iCs w:val="0"/>
                <w:color w:val="auto"/>
                <w:sz w:val="18"/>
                <w:szCs w:val="18"/>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4675">
            <w:pPr>
              <w:jc w:val="right"/>
              <w:rPr>
                <w:rFonts w:hint="default" w:ascii="Times New Roman" w:hAnsi="Times New Roman" w:eastAsia="宋体" w:cs="Times New Roman"/>
                <w:i w:val="0"/>
                <w:iCs w:val="0"/>
                <w:color w:val="auto"/>
                <w:sz w:val="18"/>
                <w:szCs w:val="18"/>
                <w:u w:val="none"/>
              </w:rPr>
            </w:pPr>
          </w:p>
        </w:tc>
      </w:tr>
      <w:tr w14:paraId="1766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07C6">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18"/>
                <w:szCs w:val="18"/>
                <w:u w:val="none"/>
              </w:rPr>
            </w:pPr>
            <w:r>
              <w:rPr>
                <w:rFonts w:hint="default" w:ascii="Times New Roman" w:hAnsi="Times New Roman" w:eastAsia="微软雅黑" w:cs="Times New Roman"/>
                <w:b/>
                <w:bCs/>
                <w:i w:val="0"/>
                <w:iCs w:val="0"/>
                <w:color w:val="auto"/>
                <w:kern w:val="0"/>
                <w:sz w:val="18"/>
                <w:szCs w:val="18"/>
                <w:u w:val="none"/>
                <w:lang w:val="en-US" w:eastAsia="zh-CN" w:bidi="ar"/>
              </w:rPr>
              <w:t>绩效目标</w:t>
            </w:r>
          </w:p>
        </w:tc>
      </w:tr>
      <w:tr w14:paraId="1C59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2CF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年初绩效目标</w:t>
            </w:r>
          </w:p>
        </w:tc>
        <w:tc>
          <w:tcPr>
            <w:tcW w:w="14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606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全年（调整）绩效目标</w:t>
            </w:r>
          </w:p>
        </w:tc>
        <w:tc>
          <w:tcPr>
            <w:tcW w:w="13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B3D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全年目标实际完成情况</w:t>
            </w:r>
          </w:p>
        </w:tc>
      </w:tr>
      <w:tr w14:paraId="67E9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23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57D944">
            <w:pPr>
              <w:keepNext w:val="0"/>
              <w:keepLines w:val="0"/>
              <w:widowControl/>
              <w:suppressLineNumbers w:val="0"/>
              <w:jc w:val="left"/>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年底完成3篇获奖征文。</w:t>
            </w:r>
          </w:p>
        </w:tc>
        <w:tc>
          <w:tcPr>
            <w:tcW w:w="14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A88C1A">
            <w:pPr>
              <w:jc w:val="left"/>
              <w:rPr>
                <w:rFonts w:hint="default" w:ascii="Times New Roman" w:hAnsi="Times New Roman" w:eastAsia="宋体" w:cs="Times New Roman"/>
                <w:i w:val="0"/>
                <w:iCs w:val="0"/>
                <w:color w:val="auto"/>
                <w:sz w:val="18"/>
                <w:szCs w:val="18"/>
                <w:u w:val="none"/>
              </w:rPr>
            </w:pPr>
          </w:p>
        </w:tc>
        <w:tc>
          <w:tcPr>
            <w:tcW w:w="135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466D62">
            <w:pPr>
              <w:keepNext w:val="0"/>
              <w:keepLines w:val="0"/>
              <w:widowControl/>
              <w:suppressLineNumbers w:val="0"/>
              <w:jc w:val="left"/>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年底</w:t>
            </w:r>
            <w:r>
              <w:rPr>
                <w:rFonts w:hint="default" w:ascii="Times New Roman" w:hAnsi="Times New Roman" w:cs="Times New Roman"/>
                <w:i w:val="0"/>
                <w:iCs w:val="0"/>
                <w:color w:val="auto"/>
                <w:kern w:val="0"/>
                <w:sz w:val="18"/>
                <w:szCs w:val="18"/>
                <w:u w:val="none"/>
                <w:lang w:val="en-US" w:eastAsia="zh-CN" w:bidi="ar"/>
              </w:rPr>
              <w:t>已</w:t>
            </w:r>
            <w:r>
              <w:rPr>
                <w:rFonts w:hint="default" w:ascii="Times New Roman" w:hAnsi="Times New Roman" w:eastAsia="宋体" w:cs="Times New Roman"/>
                <w:i w:val="0"/>
                <w:iCs w:val="0"/>
                <w:color w:val="auto"/>
                <w:kern w:val="0"/>
                <w:sz w:val="18"/>
                <w:szCs w:val="18"/>
                <w:u w:val="none"/>
                <w:lang w:val="en-US" w:eastAsia="zh-CN" w:bidi="ar"/>
              </w:rPr>
              <w:t>完成3篇获奖征文。</w:t>
            </w:r>
          </w:p>
        </w:tc>
      </w:tr>
      <w:tr w14:paraId="34EA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6136">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18"/>
                <w:szCs w:val="18"/>
                <w:u w:val="none"/>
              </w:rPr>
            </w:pPr>
            <w:r>
              <w:rPr>
                <w:rFonts w:hint="default" w:ascii="Times New Roman" w:hAnsi="Times New Roman" w:eastAsia="微软雅黑" w:cs="Times New Roman"/>
                <w:b/>
                <w:bCs/>
                <w:i w:val="0"/>
                <w:iCs w:val="0"/>
                <w:color w:val="auto"/>
                <w:kern w:val="0"/>
                <w:sz w:val="18"/>
                <w:szCs w:val="18"/>
                <w:u w:val="none"/>
                <w:lang w:val="en-US" w:eastAsia="zh-CN" w:bidi="ar"/>
              </w:rPr>
              <w:t>绩效指标</w:t>
            </w:r>
          </w:p>
        </w:tc>
      </w:tr>
      <w:tr w14:paraId="1D5F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D9B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指标名称</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316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计量单位</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B97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指标性质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36F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指标值</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B86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全年完成值</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573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偏离度（%）</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9F3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得分系数（%）</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292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指标权重</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5F6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指标得分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62E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是否核心指标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A9D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说明</w:t>
            </w:r>
          </w:p>
        </w:tc>
      </w:tr>
      <w:tr w14:paraId="19F8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6F1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获奖征文数量</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4F2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篇</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F3F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255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C2C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14A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123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BF3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D59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CD4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否</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50C3">
            <w:pPr>
              <w:jc w:val="left"/>
              <w:rPr>
                <w:rFonts w:hint="default" w:ascii="Times New Roman" w:hAnsi="Times New Roman" w:eastAsia="宋体" w:cs="Times New Roman"/>
                <w:i w:val="0"/>
                <w:iCs w:val="0"/>
                <w:color w:val="auto"/>
                <w:sz w:val="18"/>
                <w:szCs w:val="18"/>
                <w:u w:val="none"/>
              </w:rPr>
            </w:pPr>
          </w:p>
        </w:tc>
      </w:tr>
      <w:tr w14:paraId="040E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7E3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提高群众对人大工作的知晓率</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51E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705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C62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826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85</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A0E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B4A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DDC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AD8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46B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32BE">
            <w:pPr>
              <w:jc w:val="left"/>
              <w:rPr>
                <w:rFonts w:hint="default" w:ascii="Times New Roman" w:hAnsi="Times New Roman" w:eastAsia="宋体" w:cs="Times New Roman"/>
                <w:i w:val="0"/>
                <w:iCs w:val="0"/>
                <w:color w:val="auto"/>
                <w:sz w:val="18"/>
                <w:szCs w:val="18"/>
                <w:u w:val="none"/>
              </w:rPr>
            </w:pPr>
          </w:p>
        </w:tc>
      </w:tr>
      <w:tr w14:paraId="29B5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8B1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群众对象满意度</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DA0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376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BB5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7C8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85</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FE1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FB3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1C9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328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E1D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否</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09FC">
            <w:pPr>
              <w:jc w:val="left"/>
              <w:rPr>
                <w:rFonts w:hint="default" w:ascii="Times New Roman" w:hAnsi="Times New Roman" w:eastAsia="宋体" w:cs="Times New Roman"/>
                <w:i w:val="0"/>
                <w:iCs w:val="0"/>
                <w:color w:val="auto"/>
                <w:sz w:val="18"/>
                <w:szCs w:val="18"/>
                <w:u w:val="none"/>
              </w:rPr>
            </w:pPr>
          </w:p>
        </w:tc>
      </w:tr>
    </w:tbl>
    <w:p w14:paraId="551A54F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default" w:ascii="Times New Roman" w:hAnsi="Times New Roman" w:eastAsia="楷体" w:cs="Times New Roman"/>
          <w:b/>
          <w:bCs/>
          <w:color w:val="auto"/>
          <w:kern w:val="0"/>
          <w:sz w:val="32"/>
          <w:szCs w:val="32"/>
          <w:shd w:val="clear" w:fill="FFFFFF"/>
        </w:rPr>
      </w:pPr>
      <w:r>
        <w:rPr>
          <w:rFonts w:hint="default" w:ascii="Times New Roman" w:hAnsi="Times New Roman" w:eastAsia="楷体" w:cs="Times New Roman"/>
          <w:b/>
          <w:bCs/>
          <w:color w:val="auto"/>
          <w:kern w:val="0"/>
          <w:sz w:val="32"/>
          <w:szCs w:val="32"/>
          <w:shd w:val="clear" w:fill="FFFFFF"/>
        </w:rPr>
        <w:t>（二）部门绩效评价情况</w:t>
      </w:r>
    </w:p>
    <w:p w14:paraId="066BC756">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我</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未组织开展绩效评价。</w:t>
      </w:r>
    </w:p>
    <w:p w14:paraId="5CB712D2">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3"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楷体" w:cs="Times New Roman"/>
          <w:b/>
          <w:bCs/>
          <w:color w:val="auto"/>
          <w:kern w:val="0"/>
          <w:sz w:val="32"/>
          <w:szCs w:val="32"/>
          <w:shd w:val="clear" w:fill="FFFFFF"/>
          <w:lang w:val="en-US" w:eastAsia="zh-CN" w:bidi="ar"/>
        </w:rPr>
        <w:t>（三）财政绩效评价情况</w:t>
      </w:r>
    </w:p>
    <w:p w14:paraId="163A4A75">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县财政局未委托第三方对我部门开展绩效评价。</w:t>
      </w:r>
    </w:p>
    <w:p w14:paraId="467D05B2">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仿宋_GBK" w:cs="Times New Roman"/>
          <w:b/>
          <w:bCs/>
          <w:color w:val="auto"/>
          <w:sz w:val="32"/>
          <w:szCs w:val="32"/>
          <w:shd w:val="clear" w:fill="FFFFFF"/>
        </w:rPr>
        <w:t xml:space="preserve"> </w:t>
      </w:r>
      <w:r>
        <w:rPr>
          <w:rStyle w:val="11"/>
          <w:rFonts w:hint="default" w:ascii="Times New Roman" w:hAnsi="Times New Roman" w:eastAsia="方正仿宋_GBK" w:cs="Times New Roman"/>
          <w:b/>
          <w:bCs/>
          <w:color w:val="auto"/>
          <w:sz w:val="32"/>
          <w:szCs w:val="32"/>
          <w:shd w:val="clear" w:fill="FFFFFF"/>
          <w:lang w:val="en-US" w:eastAsia="zh-CN"/>
        </w:rPr>
        <w:t xml:space="preserve">  </w:t>
      </w:r>
      <w:r>
        <w:rPr>
          <w:rStyle w:val="8"/>
          <w:rFonts w:hint="default" w:ascii="Times New Roman" w:hAnsi="Times New Roman" w:eastAsia="黑体" w:cs="Times New Roman"/>
          <w:color w:val="auto"/>
          <w:sz w:val="32"/>
          <w:szCs w:val="32"/>
          <w:shd w:val="clear" w:color="auto" w:fill="FFFFFF"/>
          <w:lang w:val="en-US" w:eastAsia="zh-CN" w:bidi="ar-SA"/>
        </w:rPr>
        <w:t xml:space="preserve"> 六、专业名词解释</w:t>
      </w:r>
    </w:p>
    <w:p w14:paraId="24EF1A6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（一）财政拨款收入：</w:t>
      </w:r>
      <w:r>
        <w:rPr>
          <w:rFonts w:hint="default" w:ascii="Times New Roman" w:hAnsi="Times New Roman" w:eastAsia="方正仿宋_GBK" w:cs="Times New Roman"/>
          <w:color w:val="auto"/>
          <w:kern w:val="0"/>
          <w:sz w:val="32"/>
          <w:szCs w:val="32"/>
          <w:shd w:val="clear" w:fill="FFFFFF"/>
        </w:rPr>
        <w:t>指本年度从本级财政部门取得的财政拨款，包括一般公共预算财政拨款和政府性基金预算财政拨款。</w:t>
      </w:r>
    </w:p>
    <w:p w14:paraId="1ACAFC8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（二）事业收入：</w:t>
      </w:r>
      <w:r>
        <w:rPr>
          <w:rFonts w:hint="default" w:ascii="Times New Roman" w:hAnsi="Times New Roman" w:eastAsia="方正仿宋_GBK" w:cs="Times New Roman"/>
          <w:color w:val="auto"/>
          <w:kern w:val="0"/>
          <w:sz w:val="32"/>
          <w:szCs w:val="32"/>
          <w:shd w:val="clear" w:fill="FFFFFF"/>
        </w:rPr>
        <w:t>指事业单位开展专业业务活动及其辅助活动取得的现金流入；事业单位收到的财政专户实际核拨的教育收费等资金在此反映。</w:t>
      </w:r>
    </w:p>
    <w:p w14:paraId="717FA53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（三）经营收入：</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指事业单位在专业业务活动及其辅助活动之外开展非独立核算经营活动取得的现金流入。</w:t>
      </w:r>
    </w:p>
    <w:p w14:paraId="47B1319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（四）其他收入：</w:t>
      </w:r>
      <w:r>
        <w:rPr>
          <w:rFonts w:hint="default" w:ascii="Times New Roman" w:hAnsi="Times New Roman" w:eastAsia="方正仿宋_GBK" w:cs="Times New Roman"/>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6A7564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（五）使用非财政拨款结余：</w:t>
      </w:r>
      <w:r>
        <w:rPr>
          <w:rFonts w:hint="default" w:ascii="Times New Roman" w:hAnsi="Times New Roman" w:eastAsia="方正仿宋_GBK" w:cs="Times New Roman"/>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C5ED73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（六）年初结转和结余：</w:t>
      </w:r>
      <w:r>
        <w:rPr>
          <w:rFonts w:hint="default" w:ascii="Times New Roman" w:hAnsi="Times New Roman" w:eastAsia="方正仿宋_GBK" w:cs="Times New Roman"/>
          <w:color w:val="auto"/>
          <w:kern w:val="0"/>
          <w:sz w:val="32"/>
          <w:szCs w:val="32"/>
          <w:shd w:val="clear" w:fill="FFFFFF"/>
        </w:rPr>
        <w:t>指单位上年结转本年使用的基本支出结转、项目支出结转和结余、经营结余。</w:t>
      </w:r>
    </w:p>
    <w:p w14:paraId="51CBA79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（七）结余分配：</w:t>
      </w:r>
      <w:r>
        <w:rPr>
          <w:rFonts w:hint="default" w:ascii="Times New Roman" w:hAnsi="Times New Roman" w:eastAsia="方正仿宋_GBK" w:cs="Times New Roman"/>
          <w:color w:val="auto"/>
          <w:kern w:val="0"/>
          <w:sz w:val="32"/>
          <w:szCs w:val="32"/>
          <w:shd w:val="clear" w:fill="FFFFFF"/>
        </w:rPr>
        <w:t>指单位按照国家有关规定，缴纳所得税、提取专用基金、转入非财政拨款结余等当年结余的分配情况。</w:t>
      </w:r>
    </w:p>
    <w:p w14:paraId="0187190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（八）年末结转和结余：</w:t>
      </w:r>
      <w:r>
        <w:rPr>
          <w:rFonts w:hint="default" w:ascii="Times New Roman" w:hAnsi="Times New Roman" w:eastAsia="方正仿宋_GBK" w:cs="Times New Roman"/>
          <w:color w:val="auto"/>
          <w:kern w:val="0"/>
          <w:sz w:val="32"/>
          <w:szCs w:val="32"/>
          <w:shd w:val="clear" w:fill="FFFFFF"/>
        </w:rPr>
        <w:t>指单位结转下年的基本支出结转、项目支出结转和结余、经营结余。</w:t>
      </w:r>
    </w:p>
    <w:p w14:paraId="04046FB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（九）基本支出：</w:t>
      </w:r>
      <w:r>
        <w:rPr>
          <w:rFonts w:hint="default" w:ascii="Times New Roman" w:hAnsi="Times New Roman" w:eastAsia="方正仿宋_GBK" w:cs="Times New Roman"/>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11478F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（十）项目支出：</w:t>
      </w:r>
      <w:r>
        <w:rPr>
          <w:rFonts w:hint="default" w:ascii="Times New Roman" w:hAnsi="Times New Roman" w:eastAsia="方正仿宋_GBK" w:cs="Times New Roman"/>
          <w:color w:val="auto"/>
          <w:kern w:val="0"/>
          <w:sz w:val="32"/>
          <w:szCs w:val="32"/>
          <w:shd w:val="clear" w:fill="FFFFFF"/>
        </w:rPr>
        <w:t>指在基本支出之外为完成特定行政任务和事业发展目标所发生的支出。</w:t>
      </w:r>
    </w:p>
    <w:p w14:paraId="6E0314B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（十一）经营支出：</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指事业单位在专业业务活动及其辅助活动之外开展非独立核算经营活动发生的支出。</w:t>
      </w:r>
    </w:p>
    <w:p w14:paraId="3E7E171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（十二）“三公”经费：</w:t>
      </w:r>
      <w:r>
        <w:rPr>
          <w:rFonts w:hint="default" w:ascii="Times New Roman" w:hAnsi="Times New Roman" w:eastAsia="方正仿宋_GBK" w:cs="Times New Roman"/>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743DB3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（十三）机关运行经费：</w:t>
      </w:r>
      <w:r>
        <w:rPr>
          <w:rFonts w:hint="default" w:ascii="Times New Roman" w:hAnsi="Times New Roman" w:eastAsia="方正仿宋_GBK" w:cs="Times New Roman"/>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B51DBB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color w:val="auto"/>
          <w:kern w:val="0"/>
          <w:sz w:val="32"/>
          <w:szCs w:val="32"/>
          <w:shd w:val="clear" w:fill="FFFFFF"/>
        </w:rPr>
        <w:t>反映单位开支的在职职工和编制外长期聘用人员的各类劳动报酬，以及为上述人员缴纳的各项社会保险费等。</w:t>
      </w:r>
    </w:p>
    <w:p w14:paraId="1338B65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shd w:val="clear" w:fill="FFFFFF"/>
        </w:rPr>
        <w:t>反映单位购买商品和服务的支出（不包括用于购置固定资产的支出、战略性和应急储备支出）。</w:t>
      </w:r>
    </w:p>
    <w:p w14:paraId="7E65DCB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shd w:val="clear" w:fill="FFFFFF"/>
        </w:rPr>
        <w:t>反映用于对个人和家庭的补助支出。</w:t>
      </w:r>
    </w:p>
    <w:p w14:paraId="08E9150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B2DFC5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黑体" w:cs="Times New Roman"/>
          <w:color w:val="auto"/>
          <w:sz w:val="32"/>
          <w:szCs w:val="32"/>
          <w:shd w:val="clear" w:color="auto" w:fill="FFFFFF"/>
          <w:lang w:val="en-US" w:eastAsia="zh-CN" w:bidi="ar-SA"/>
        </w:rPr>
        <w:t>七、决算公开联系方式及信息反馈渠道</w:t>
      </w:r>
    </w:p>
    <w:p w14:paraId="4E857D3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本单位决算公开信息反馈和联系方式：</w:t>
      </w:r>
    </w:p>
    <w:p w14:paraId="4B41FB4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51728385</w:t>
      </w:r>
    </w:p>
    <w:p w14:paraId="5CFF2829">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Style w:val="11"/>
          <w:rFonts w:hint="default" w:ascii="Times New Roman" w:hAnsi="Times New Roman" w:eastAsia="方正仿宋_GBK" w:cs="Times New Roman"/>
          <w:b/>
          <w:bCs/>
          <w:color w:val="auto"/>
          <w:sz w:val="32"/>
          <w:szCs w:val="32"/>
          <w:shd w:val="clear" w:fill="FFFF00"/>
        </w:rPr>
      </w:pPr>
    </w:p>
    <w:p w14:paraId="3D523E09">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Style w:val="11"/>
          <w:rFonts w:hint="default" w:ascii="Times New Roman" w:hAnsi="Times New Roman" w:eastAsia="方正仿宋_GBK" w:cs="Times New Roman"/>
          <w:b/>
          <w:bCs/>
          <w:color w:val="auto"/>
          <w:sz w:val="32"/>
          <w:szCs w:val="32"/>
          <w:shd w:val="clear" w:fill="FFFF00"/>
        </w:rPr>
      </w:pPr>
    </w:p>
    <w:p w14:paraId="02FBA7A4">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Style w:val="11"/>
          <w:rFonts w:hint="default" w:ascii="Times New Roman" w:hAnsi="Times New Roman" w:eastAsia="方正仿宋_GBK" w:cs="Times New Roman"/>
          <w:b/>
          <w:bCs/>
          <w:color w:val="auto"/>
          <w:sz w:val="32"/>
          <w:szCs w:val="32"/>
          <w:shd w:val="clear" w:fill="FFFF00"/>
        </w:rPr>
      </w:pPr>
    </w:p>
    <w:p w14:paraId="2C3B5438">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jc w:val="both"/>
        <w:textAlignment w:val="auto"/>
        <w:rPr>
          <w:rFonts w:hint="default" w:ascii="Times New Roman" w:hAnsi="Times New Roman" w:eastAsia="方正仿宋_GBK" w:cs="Times New Roman"/>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2013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4CE08A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收入支出决算表</w:t>
            </w:r>
          </w:p>
        </w:tc>
      </w:tr>
      <w:tr w14:paraId="7A35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BA6B30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巫溪县人大宣传信息中心</w:t>
            </w:r>
          </w:p>
        </w:tc>
        <w:tc>
          <w:tcPr>
            <w:tcW w:w="4419" w:type="dxa"/>
            <w:tcBorders>
              <w:top w:val="nil"/>
              <w:left w:val="nil"/>
              <w:bottom w:val="nil"/>
              <w:right w:val="nil"/>
            </w:tcBorders>
            <w:shd w:val="clear" w:color="auto" w:fill="auto"/>
            <w:vAlign w:val="bottom"/>
          </w:tcPr>
          <w:p w14:paraId="34CA8605">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01表</w:t>
            </w:r>
          </w:p>
        </w:tc>
      </w:tr>
      <w:tr w14:paraId="04ED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3DA493E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4419" w:type="dxa"/>
            <w:tcBorders>
              <w:top w:val="nil"/>
              <w:left w:val="nil"/>
              <w:bottom w:val="nil"/>
              <w:right w:val="nil"/>
            </w:tcBorders>
            <w:shd w:val="clear" w:color="auto" w:fill="auto"/>
            <w:vAlign w:val="bottom"/>
          </w:tcPr>
          <w:p w14:paraId="2BDFC8B4">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0C54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209F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1BF35E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支出</w:t>
            </w:r>
          </w:p>
        </w:tc>
      </w:tr>
      <w:tr w14:paraId="07F4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5EF75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004503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71E8784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D266DE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12C60FB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79DC64E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金额</w:t>
            </w:r>
          </w:p>
        </w:tc>
      </w:tr>
      <w:tr w14:paraId="1CB5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E7390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7D71B8A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E69711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37A12B2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5AD493B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7C9793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r>
      <w:tr w14:paraId="5E04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64986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B67891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3C3183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224.46 </w:t>
            </w:r>
          </w:p>
        </w:tc>
        <w:tc>
          <w:tcPr>
            <w:tcW w:w="4950" w:type="dxa"/>
            <w:tcBorders>
              <w:top w:val="nil"/>
              <w:left w:val="nil"/>
              <w:bottom w:val="single" w:color="000000" w:sz="4" w:space="0"/>
              <w:right w:val="single" w:color="000000" w:sz="4" w:space="0"/>
            </w:tcBorders>
            <w:shd w:val="clear" w:color="auto" w:fill="auto"/>
            <w:vAlign w:val="center"/>
          </w:tcPr>
          <w:p w14:paraId="2BB0FBC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067774C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746D4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172.61 </w:t>
            </w:r>
          </w:p>
        </w:tc>
      </w:tr>
      <w:tr w14:paraId="09A6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36C1A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E13D14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531DF9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A1CCFA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7A1B18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77EB1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F2A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AAD6E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7190C7B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770318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452337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59AA50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F2F3E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9FB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90C6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1820320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67B13E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AA75F8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7BC2374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D73D4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03E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DD264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209EF1A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247ADF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51458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12BC54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3DA4EC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0B39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8403B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1FB30B7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0E715A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29BE37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0720792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158D2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9FD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E0853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3326D6E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26983B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E65215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45E41E3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9DC24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E40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0CDFC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2AB75B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416C75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CFEDE3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22F53AC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8246F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31.82 </w:t>
            </w:r>
          </w:p>
        </w:tc>
      </w:tr>
      <w:tr w14:paraId="1F74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64BCE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435720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B2C4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215DC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A68799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21A0D4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9.10 </w:t>
            </w:r>
          </w:p>
        </w:tc>
      </w:tr>
      <w:tr w14:paraId="5CE7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6745D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178F61A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EF66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29C4B2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50EA8E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182229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E3C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84BA2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0CE323D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66F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78453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5388B0F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1FEE8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4D5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F1DD5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6DEC11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953C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BF191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CD03E5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9B4AB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9E8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738EE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75898A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DB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DDA581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4C382C5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B3326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CFA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F7A1C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43200F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204CE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32FA80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4FF6BA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8B1A2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20F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FA232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B41B0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2B77F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9E3DD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F06C8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45F35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728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98998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C6A8FA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068BCB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B1303D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2A2714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73217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1CE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A7EF6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D189B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D2FC3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950B7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4A86E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46251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552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14423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8EDA8A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2909F0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12A8AF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B7D52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3AF48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C5CF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431D8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6C737A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76F8E7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1E48D1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32E8D43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3E86D1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10.92 </w:t>
            </w:r>
          </w:p>
        </w:tc>
      </w:tr>
      <w:tr w14:paraId="6FC2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C11175">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D991FC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048D07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3922E5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CC907B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4A1E3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87B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19185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842B1B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5BC1D0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FDFCE2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08163C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67435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3A1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9C077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452BA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1422F1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53058C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8C6A0A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9E414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601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DC0575">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C23346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DFE4C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007F0A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CAF012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DC521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144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2A92A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A95AE7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7BDAF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8EB140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3E27DB5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E21AA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E30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3E8C1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7CA605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0779BE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8AC6D4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6DB3D41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7C5B5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CDF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8E3AF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EC9F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2F9710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504D47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A3E39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A8D50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A46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AE243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05CE7AB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5E9CC4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224.46 </w:t>
            </w:r>
          </w:p>
        </w:tc>
        <w:tc>
          <w:tcPr>
            <w:tcW w:w="4950" w:type="dxa"/>
            <w:tcBorders>
              <w:top w:val="nil"/>
              <w:left w:val="nil"/>
              <w:bottom w:val="single" w:color="000000" w:sz="4" w:space="0"/>
              <w:right w:val="single" w:color="000000" w:sz="4" w:space="0"/>
            </w:tcBorders>
            <w:shd w:val="clear" w:color="auto" w:fill="auto"/>
            <w:vAlign w:val="center"/>
          </w:tcPr>
          <w:p w14:paraId="67BB9F4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5D9DC92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FFE7F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224.46 </w:t>
            </w:r>
          </w:p>
        </w:tc>
      </w:tr>
      <w:tr w14:paraId="528B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02639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34C4E3F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1982B4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33091A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9B832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5A4E6B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F3B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99445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5592D0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25A314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5B00F5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357B01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C3C8E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538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7991C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61AC49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68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224.46 </w:t>
            </w:r>
          </w:p>
        </w:tc>
        <w:tc>
          <w:tcPr>
            <w:tcW w:w="4950" w:type="dxa"/>
            <w:tcBorders>
              <w:top w:val="nil"/>
              <w:left w:val="nil"/>
              <w:bottom w:val="single" w:color="000000" w:sz="4" w:space="0"/>
              <w:right w:val="single" w:color="000000" w:sz="4" w:space="0"/>
            </w:tcBorders>
            <w:shd w:val="clear" w:color="auto" w:fill="auto"/>
            <w:vAlign w:val="center"/>
          </w:tcPr>
          <w:p w14:paraId="37B8676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51AA25C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r>
              <w:rPr>
                <w:rFonts w:hint="default" w:ascii="Times New Roman" w:hAnsi="Times New Roman" w:cs="Times New Roman"/>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26AA44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224.46</w:t>
            </w:r>
          </w:p>
        </w:tc>
      </w:tr>
    </w:tbl>
    <w:p w14:paraId="1129C408">
      <w:pPr>
        <w:pStyle w:val="9"/>
        <w:keepNext w:val="0"/>
        <w:keepLines w:val="0"/>
        <w:pageBreakBefore w:val="0"/>
        <w:widowControl/>
        <w:numPr>
          <w:ilvl w:val="0"/>
          <w:numId w:val="0"/>
        </w:numPr>
        <w:kinsoku/>
        <w:overflowPunct/>
        <w:topLinePunct w:val="0"/>
        <w:autoSpaceDE w:val="0"/>
        <w:autoSpaceDN/>
        <w:bidi w:val="0"/>
        <w:adjustRightInd/>
        <w:spacing w:beforeAutospacing="0" w:afterAutospacing="0" w:line="594" w:lineRule="exact"/>
        <w:rPr>
          <w:rFonts w:hint="default" w:ascii="Times New Roman" w:hAnsi="Times New Roman" w:eastAsia="宋体" w:cs="Times New Roman"/>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62AB802">
      <w:pPr>
        <w:pStyle w:val="9"/>
        <w:keepNext w:val="0"/>
        <w:keepLines w:val="0"/>
        <w:pageBreakBefore w:val="0"/>
        <w:widowControl/>
        <w:numPr>
          <w:ilvl w:val="0"/>
          <w:numId w:val="0"/>
        </w:numPr>
        <w:kinsoku/>
        <w:overflowPunct/>
        <w:topLinePunct w:val="0"/>
        <w:autoSpaceDE w:val="0"/>
        <w:autoSpaceDN/>
        <w:bidi w:val="0"/>
        <w:adjustRightInd/>
        <w:spacing w:beforeAutospacing="0" w:afterAutospacing="0" w:line="594" w:lineRule="exact"/>
        <w:rPr>
          <w:rFonts w:hint="default" w:ascii="Times New Roman" w:hAnsi="Times New Roman" w:eastAsia="宋体" w:cs="Times New Roman"/>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853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377932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收入决算表</w:t>
            </w:r>
          </w:p>
        </w:tc>
      </w:tr>
      <w:tr w14:paraId="2308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05BD6B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巫溪县人大宣传信息中心</w:t>
            </w:r>
          </w:p>
        </w:tc>
        <w:tc>
          <w:tcPr>
            <w:tcW w:w="2408" w:type="dxa"/>
            <w:tcBorders>
              <w:top w:val="nil"/>
              <w:left w:val="nil"/>
              <w:right w:val="nil"/>
            </w:tcBorders>
            <w:shd w:val="clear" w:color="auto" w:fill="auto"/>
            <w:vAlign w:val="bottom"/>
          </w:tcPr>
          <w:p w14:paraId="4A51A7CB">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02表</w:t>
            </w:r>
          </w:p>
          <w:p w14:paraId="35F460CA">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795E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9404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3B0806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FCD15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2A6AED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FD5B55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6AACDF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64B009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AA04D6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050C7C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其他收入</w:t>
            </w:r>
          </w:p>
        </w:tc>
      </w:tr>
      <w:tr w14:paraId="31AF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09CE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B2143D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4416D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0BFBA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AEEA5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5B957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BF552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E4D5C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D8603A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01B2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F3D2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A5698E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FE58C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B0B3D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E915A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FAAE9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F34C0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5AC1D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8CEE86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6947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657E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955D69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1353A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D68B8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D3B16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876DF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07A6B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E57EC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00CA20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4770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53C495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73BA8B2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972665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2627E6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AB5AD8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01CA06C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C3C1B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284FBC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07265D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128213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C3020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r>
      <w:tr w14:paraId="529A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02B5DC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62E06A7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91B5DC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1ACAD09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6491D2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224.46 </w:t>
            </w:r>
          </w:p>
        </w:tc>
        <w:tc>
          <w:tcPr>
            <w:tcW w:w="2403" w:type="dxa"/>
            <w:tcBorders>
              <w:top w:val="nil"/>
              <w:left w:val="nil"/>
              <w:bottom w:val="single" w:color="000000" w:sz="4" w:space="0"/>
              <w:right w:val="single" w:color="000000" w:sz="4" w:space="0"/>
            </w:tcBorders>
            <w:shd w:val="clear" w:color="auto" w:fill="auto"/>
            <w:vAlign w:val="center"/>
          </w:tcPr>
          <w:p w14:paraId="61D99C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224.46 </w:t>
            </w:r>
          </w:p>
        </w:tc>
        <w:tc>
          <w:tcPr>
            <w:tcW w:w="2403" w:type="dxa"/>
            <w:tcBorders>
              <w:top w:val="nil"/>
              <w:left w:val="nil"/>
              <w:bottom w:val="single" w:color="000000" w:sz="4" w:space="0"/>
              <w:right w:val="single" w:color="000000" w:sz="4" w:space="0"/>
            </w:tcBorders>
            <w:shd w:val="clear" w:color="auto" w:fill="auto"/>
            <w:vAlign w:val="center"/>
          </w:tcPr>
          <w:p w14:paraId="4CA41A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2A533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C12EA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C821E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DD6D3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0963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C86C9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27EA4A4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71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172.61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1D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172.61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9D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1B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11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D4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30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7BC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E9C2C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3E3899B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24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172.61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8F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172.61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63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D82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F9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ED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8D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807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1B12B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2010106</w:t>
            </w:r>
          </w:p>
        </w:tc>
        <w:tc>
          <w:tcPr>
            <w:tcW w:w="3900" w:type="dxa"/>
            <w:tcBorders>
              <w:top w:val="nil"/>
              <w:left w:val="nil"/>
              <w:bottom w:val="single" w:color="000000" w:sz="4" w:space="0"/>
              <w:right w:val="single" w:color="000000" w:sz="4" w:space="0"/>
            </w:tcBorders>
            <w:shd w:val="clear" w:color="auto" w:fill="auto"/>
            <w:vAlign w:val="center"/>
          </w:tcPr>
          <w:p w14:paraId="2F2B6E7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人大监督</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B8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CF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68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76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BC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F4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AA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9A44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E2370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2010150</w:t>
            </w:r>
          </w:p>
        </w:tc>
        <w:tc>
          <w:tcPr>
            <w:tcW w:w="3900" w:type="dxa"/>
            <w:tcBorders>
              <w:top w:val="nil"/>
              <w:left w:val="nil"/>
              <w:bottom w:val="single" w:color="000000" w:sz="4" w:space="0"/>
              <w:right w:val="single" w:color="000000" w:sz="4" w:space="0"/>
            </w:tcBorders>
            <w:shd w:val="clear" w:color="auto" w:fill="auto"/>
            <w:vAlign w:val="center"/>
          </w:tcPr>
          <w:p w14:paraId="6C3AE00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C7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96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57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CA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C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22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D0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032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2217A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40EE0F6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4C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69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22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01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2F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8A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55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5F1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AFC59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5516130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D0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B3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2D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B7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66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78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97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33C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80D4B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4C830ED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EE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F2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79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1B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CD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FA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83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F66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83DA1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256CB85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26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AC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5E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F2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55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BF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0B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6C1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442CB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ABF33C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AC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9B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63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B7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92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46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26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3D1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0947E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1CE7C13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BA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6D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2B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3F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F1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12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F3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631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F6EB4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46C3A41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B7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86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54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5C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E9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76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8F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3D3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82D5D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8C9A9F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EF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4E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3B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1D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CE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63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D7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5DC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03C94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718A6D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34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97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3C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70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02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72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0A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641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36A6D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ECFDBD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8E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B1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E1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36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1F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80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8A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278A9FC0">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36D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8726D6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支出决算表</w:t>
            </w:r>
          </w:p>
        </w:tc>
      </w:tr>
      <w:tr w14:paraId="2114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1B510F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 xml:space="preserve">巫溪县人大宣传信息中心 </w:t>
            </w:r>
          </w:p>
        </w:tc>
        <w:tc>
          <w:tcPr>
            <w:tcW w:w="2741" w:type="dxa"/>
            <w:tcBorders>
              <w:top w:val="nil"/>
              <w:left w:val="nil"/>
              <w:bottom w:val="nil"/>
              <w:right w:val="nil"/>
            </w:tcBorders>
            <w:shd w:val="clear" w:color="auto" w:fill="auto"/>
            <w:vAlign w:val="bottom"/>
          </w:tcPr>
          <w:p w14:paraId="2897853D">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03表</w:t>
            </w:r>
          </w:p>
        </w:tc>
      </w:tr>
      <w:tr w14:paraId="2521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3E23EB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2741" w:type="dxa"/>
            <w:tcBorders>
              <w:top w:val="nil"/>
              <w:left w:val="nil"/>
              <w:bottom w:val="nil"/>
              <w:right w:val="nil"/>
            </w:tcBorders>
            <w:shd w:val="clear" w:color="auto" w:fill="auto"/>
            <w:vAlign w:val="bottom"/>
          </w:tcPr>
          <w:p w14:paraId="55F924FD">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665D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FEDF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FBA5A4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999BF6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E1AC1A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7B51E5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B922B5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6ECA4E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A47E03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对附属单位补助支出</w:t>
            </w:r>
          </w:p>
        </w:tc>
      </w:tr>
      <w:tr w14:paraId="3FB2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40C8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85F6D8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66CDA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06695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82476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974C4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5F502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48847D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64CE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45E5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488607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59926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8F664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62698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EDD4B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86887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81CBA3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23A0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6D46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07F65B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B47B0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230BB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69C87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A5CF2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FF704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567B48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07F8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BA22F1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875323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629E1F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37CAFBB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F9DA1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C6F41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53803B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8D8AAD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38F1DDF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9D0AB3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r>
      <w:tr w14:paraId="6851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9AF93C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6E212A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771F7F5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D5682C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03918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224.46 </w:t>
            </w:r>
          </w:p>
        </w:tc>
        <w:tc>
          <w:tcPr>
            <w:tcW w:w="2737" w:type="dxa"/>
            <w:tcBorders>
              <w:top w:val="nil"/>
              <w:left w:val="nil"/>
              <w:bottom w:val="single" w:color="000000" w:sz="4" w:space="0"/>
              <w:right w:val="single" w:color="000000" w:sz="4" w:space="0"/>
            </w:tcBorders>
            <w:shd w:val="clear" w:color="auto" w:fill="auto"/>
            <w:vAlign w:val="center"/>
          </w:tcPr>
          <w:p w14:paraId="03FBED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219.43 </w:t>
            </w:r>
          </w:p>
        </w:tc>
        <w:tc>
          <w:tcPr>
            <w:tcW w:w="2737" w:type="dxa"/>
            <w:tcBorders>
              <w:top w:val="nil"/>
              <w:left w:val="nil"/>
              <w:bottom w:val="single" w:color="000000" w:sz="4" w:space="0"/>
              <w:right w:val="single" w:color="000000" w:sz="4" w:space="0"/>
            </w:tcBorders>
            <w:shd w:val="clear" w:color="auto" w:fill="auto"/>
            <w:vAlign w:val="center"/>
          </w:tcPr>
          <w:p w14:paraId="4A6809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5.03 </w:t>
            </w:r>
          </w:p>
        </w:tc>
        <w:tc>
          <w:tcPr>
            <w:tcW w:w="2737" w:type="dxa"/>
            <w:tcBorders>
              <w:top w:val="nil"/>
              <w:left w:val="nil"/>
              <w:bottom w:val="single" w:color="000000" w:sz="4" w:space="0"/>
              <w:right w:val="single" w:color="000000" w:sz="4" w:space="0"/>
            </w:tcBorders>
            <w:shd w:val="clear" w:color="auto" w:fill="auto"/>
            <w:vAlign w:val="center"/>
          </w:tcPr>
          <w:p w14:paraId="5A9D95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479A8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09D72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7BAC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F754F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0D34512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85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172.61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54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CB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8A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16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09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1BB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83969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3D109DB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A6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172.61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22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BA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AB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BE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86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50F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48D7C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2010106</w:t>
            </w:r>
          </w:p>
        </w:tc>
        <w:tc>
          <w:tcPr>
            <w:tcW w:w="4433" w:type="dxa"/>
            <w:tcBorders>
              <w:top w:val="nil"/>
              <w:left w:val="nil"/>
              <w:bottom w:val="single" w:color="000000" w:sz="4" w:space="0"/>
              <w:right w:val="single" w:color="000000" w:sz="4" w:space="0"/>
            </w:tcBorders>
            <w:shd w:val="clear" w:color="auto" w:fill="auto"/>
            <w:vAlign w:val="center"/>
          </w:tcPr>
          <w:p w14:paraId="59AAAE5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人大监督</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AA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E8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66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CA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37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59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B1F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55FE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2010150</w:t>
            </w:r>
          </w:p>
        </w:tc>
        <w:tc>
          <w:tcPr>
            <w:tcW w:w="4433" w:type="dxa"/>
            <w:tcBorders>
              <w:top w:val="nil"/>
              <w:left w:val="nil"/>
              <w:bottom w:val="single" w:color="000000" w:sz="4" w:space="0"/>
              <w:right w:val="single" w:color="000000" w:sz="4" w:space="0"/>
            </w:tcBorders>
            <w:shd w:val="clear" w:color="auto" w:fill="auto"/>
            <w:vAlign w:val="center"/>
          </w:tcPr>
          <w:p w14:paraId="2A342DE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E3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B2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80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45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39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BA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F93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3157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C8D9AA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F9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84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B0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5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1E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42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C4B0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068E9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2D021F3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AE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6F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FE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0A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36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EA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989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C9EC8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B03777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A4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92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56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2A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2A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97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7BE2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672D1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00DEC48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FA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F2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DD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59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F7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94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4D5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5D4B2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541BEE6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5C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8F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8F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3F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C8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61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819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9488D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41D3EC4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83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36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73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34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BF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E3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E82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31926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3005A4D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4D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16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8B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05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E4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AD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71B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6D5CA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FCE7BD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F9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3A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5A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99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FA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2D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584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5AD4C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12D0187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9D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2D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E3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F4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3B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71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F02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5BAD6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DE2F28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B7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9F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67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95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4C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D4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604C7322">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273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1CED06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财政拨款收入支出决算表</w:t>
            </w:r>
          </w:p>
        </w:tc>
      </w:tr>
      <w:tr w14:paraId="75B2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C95172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巫溪县人大宣传信息中心</w:t>
            </w:r>
          </w:p>
        </w:tc>
        <w:tc>
          <w:tcPr>
            <w:tcW w:w="2874" w:type="dxa"/>
            <w:tcBorders>
              <w:top w:val="nil"/>
              <w:left w:val="nil"/>
              <w:bottom w:val="nil"/>
              <w:right w:val="nil"/>
            </w:tcBorders>
            <w:shd w:val="clear" w:color="auto" w:fill="auto"/>
            <w:vAlign w:val="bottom"/>
          </w:tcPr>
          <w:p w14:paraId="5B1514F6">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04表</w:t>
            </w:r>
          </w:p>
        </w:tc>
      </w:tr>
      <w:tr w14:paraId="0877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95CBE0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2874" w:type="dxa"/>
            <w:tcBorders>
              <w:top w:val="nil"/>
              <w:left w:val="nil"/>
              <w:bottom w:val="nil"/>
              <w:right w:val="nil"/>
            </w:tcBorders>
            <w:shd w:val="clear" w:color="auto" w:fill="auto"/>
            <w:vAlign w:val="bottom"/>
          </w:tcPr>
          <w:p w14:paraId="5F1B586F">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0490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C05C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E5BD3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支     出</w:t>
            </w:r>
          </w:p>
        </w:tc>
      </w:tr>
      <w:tr w14:paraId="1B72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2C81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5584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397B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4E6D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AE72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68A0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A3DE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E7A0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67B5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国有资本经营预算财政拨款</w:t>
            </w:r>
          </w:p>
        </w:tc>
      </w:tr>
      <w:tr w14:paraId="5EAF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B6A2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070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7DB2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BDA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61FE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D4B6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9892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4FEA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2E01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04E66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E0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9F8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202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F83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623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C7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21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58B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4D5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r>
      <w:tr w14:paraId="4CE52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CFA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7C0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CC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224.46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86A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B4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55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172.61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68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172.61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05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E7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888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A72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1DF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EC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777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578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38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9F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A2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D3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C5A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432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927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51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275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100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7D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C0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9A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C2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D4B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4B0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53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A7BB5">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E08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5C7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EB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57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36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6E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EEE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135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AF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39D56C">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A2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37E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DD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DC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82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F2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DFF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A05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120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07C2A">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A11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6CB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7E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39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CB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56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886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80F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AEF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02760">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183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240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86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3C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80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EF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868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097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DCE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357A4C">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766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5B8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7B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7A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B3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5F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FEF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51A7">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91F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FA49A1">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9A9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3B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4D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76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55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B5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F71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10C5">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BA2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76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019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F91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3A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09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73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84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5DF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706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057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24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998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B6A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B8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A9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9C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0E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BA8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BCC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4B1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5D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784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B9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01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95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72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6C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191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5E5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079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7C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50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4CF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E7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72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3F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F3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A47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E45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412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55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6A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6A1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4C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3F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D3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33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9C9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3F9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CC7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15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1E2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B02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4D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55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E1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65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79D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DC9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286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08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0D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87A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30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50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AA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9F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7F6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314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ACA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C5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21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46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85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AC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5D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4B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D40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21F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094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23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D9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03B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13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68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40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98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B65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B5C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3D5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86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9EA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562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AA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57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49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AD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4C1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54C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64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DD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3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BC9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DE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66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CD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1C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0F64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75B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BBD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74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A8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0F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A6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0E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7B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42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EEC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D0D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98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ED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0D4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2B0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7C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4A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1A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AB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8BB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AA1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94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D5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D33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8BD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B5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7D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C6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52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37E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381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DF4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02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CC9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987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49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60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B0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5C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BB7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7B6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7E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F6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E8A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D8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4F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79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94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E8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A9C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054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C9B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FF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C1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96B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90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67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F2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4D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5BE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2B3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8E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72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224.46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4BC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20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51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224.46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C1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224.46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68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FD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1B4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B20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75E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EC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2E4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830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E8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8C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4A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09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5E8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5A9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F5F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2D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E63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BA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95A4B5">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DD9A76">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683D7">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2DF41B">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r>
      <w:tr w14:paraId="7ECE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A30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17E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67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C75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5A7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32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97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CC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09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r>
      <w:tr w14:paraId="49FE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12C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684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C4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195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DD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23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C0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CD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04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r>
      <w:tr w14:paraId="3580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C8F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066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F4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224.46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F6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2FF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1D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224.46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36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224.46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26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50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005B0AA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042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044CE8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一般公共预算财政拨款收入支出决算表</w:t>
            </w:r>
          </w:p>
        </w:tc>
      </w:tr>
      <w:tr w14:paraId="09B7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5A0F9C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巫溪县人大宣传信息中心</w:t>
            </w:r>
          </w:p>
        </w:tc>
        <w:tc>
          <w:tcPr>
            <w:tcW w:w="1156" w:type="dxa"/>
            <w:tcBorders>
              <w:top w:val="nil"/>
              <w:left w:val="nil"/>
              <w:bottom w:val="nil"/>
              <w:right w:val="nil"/>
            </w:tcBorders>
            <w:shd w:val="clear" w:color="auto" w:fill="auto"/>
            <w:vAlign w:val="bottom"/>
          </w:tcPr>
          <w:p w14:paraId="771DEFD9">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05表</w:t>
            </w:r>
          </w:p>
        </w:tc>
      </w:tr>
      <w:tr w14:paraId="3DC8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9C5FE6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1156" w:type="dxa"/>
            <w:tcBorders>
              <w:top w:val="nil"/>
              <w:left w:val="nil"/>
              <w:bottom w:val="nil"/>
              <w:right w:val="nil"/>
            </w:tcBorders>
            <w:shd w:val="clear" w:color="auto" w:fill="auto"/>
            <w:vAlign w:val="bottom"/>
          </w:tcPr>
          <w:p w14:paraId="29E5989E">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1308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6E23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80A8FE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80E58D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C6317F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8CF1C1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09BB6C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r>
      <w:tr w14:paraId="77EF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3570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1D5511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2770AA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C96A77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63CC90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213008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412267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F7712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5FD383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09CD83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585112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E70A8A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56C90A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7E045D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r>
      <w:tr w14:paraId="154D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B4F3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8D2946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EFB4F4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1E10EF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38AD5D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D9EAF5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E165E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C2BEE5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305305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16DA56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ABEDBF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B1129E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D4AAA4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318B40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9C8D77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项目支出结余</w:t>
            </w:r>
          </w:p>
        </w:tc>
      </w:tr>
      <w:tr w14:paraId="7B4C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5400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A2FFB0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5EC12C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35996D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6E8F8E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D77E03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A570DC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1AF4F5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23D0E7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43AC20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A8F930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2D2074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DF4DB5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19D4FE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6F52C9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14C4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A791C0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47D779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AA6C6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BF91D3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8A96B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556000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B2BE3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B4F44B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688272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B9A29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FFF5E4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85B24D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A30402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C0809E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570542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72A164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28ECF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r>
      <w:tr w14:paraId="0D15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07B430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693C63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98E9F7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16BD7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0044F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3FB6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BC053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A3662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224.46 </w:t>
            </w:r>
          </w:p>
        </w:tc>
        <w:tc>
          <w:tcPr>
            <w:tcW w:w="1666" w:type="dxa"/>
            <w:tcBorders>
              <w:top w:val="nil"/>
              <w:left w:val="nil"/>
              <w:bottom w:val="single" w:color="000000" w:sz="4" w:space="0"/>
              <w:right w:val="single" w:color="000000" w:sz="4" w:space="0"/>
            </w:tcBorders>
            <w:shd w:val="clear" w:color="auto" w:fill="auto"/>
            <w:vAlign w:val="center"/>
          </w:tcPr>
          <w:p w14:paraId="79E1A6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219.43 </w:t>
            </w:r>
          </w:p>
        </w:tc>
        <w:tc>
          <w:tcPr>
            <w:tcW w:w="1684" w:type="dxa"/>
            <w:tcBorders>
              <w:top w:val="nil"/>
              <w:left w:val="nil"/>
              <w:bottom w:val="single" w:color="000000" w:sz="4" w:space="0"/>
              <w:right w:val="single" w:color="000000" w:sz="4" w:space="0"/>
            </w:tcBorders>
            <w:shd w:val="clear" w:color="auto" w:fill="auto"/>
            <w:vAlign w:val="center"/>
          </w:tcPr>
          <w:p w14:paraId="20F213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5.03 </w:t>
            </w:r>
          </w:p>
        </w:tc>
        <w:tc>
          <w:tcPr>
            <w:tcW w:w="1750" w:type="dxa"/>
            <w:tcBorders>
              <w:top w:val="nil"/>
              <w:left w:val="nil"/>
              <w:bottom w:val="single" w:color="000000" w:sz="4" w:space="0"/>
              <w:right w:val="single" w:color="000000" w:sz="4" w:space="0"/>
            </w:tcBorders>
            <w:shd w:val="clear" w:color="auto" w:fill="auto"/>
            <w:vAlign w:val="center"/>
          </w:tcPr>
          <w:p w14:paraId="10396A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224.46 </w:t>
            </w:r>
          </w:p>
        </w:tc>
        <w:tc>
          <w:tcPr>
            <w:tcW w:w="1700" w:type="dxa"/>
            <w:tcBorders>
              <w:top w:val="nil"/>
              <w:left w:val="nil"/>
              <w:bottom w:val="single" w:color="000000" w:sz="4" w:space="0"/>
              <w:right w:val="single" w:color="000000" w:sz="4" w:space="0"/>
            </w:tcBorders>
            <w:shd w:val="clear" w:color="auto" w:fill="auto"/>
            <w:vAlign w:val="center"/>
          </w:tcPr>
          <w:p w14:paraId="562C8C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219.43 </w:t>
            </w:r>
          </w:p>
        </w:tc>
        <w:tc>
          <w:tcPr>
            <w:tcW w:w="1733" w:type="dxa"/>
            <w:tcBorders>
              <w:top w:val="nil"/>
              <w:left w:val="nil"/>
              <w:bottom w:val="single" w:color="000000" w:sz="4" w:space="0"/>
              <w:right w:val="single" w:color="000000" w:sz="4" w:space="0"/>
            </w:tcBorders>
            <w:shd w:val="clear" w:color="auto" w:fill="auto"/>
            <w:vAlign w:val="center"/>
          </w:tcPr>
          <w:p w14:paraId="47C835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5.03 </w:t>
            </w:r>
          </w:p>
        </w:tc>
        <w:tc>
          <w:tcPr>
            <w:tcW w:w="1583" w:type="dxa"/>
            <w:tcBorders>
              <w:top w:val="nil"/>
              <w:left w:val="nil"/>
              <w:bottom w:val="single" w:color="000000" w:sz="4" w:space="0"/>
              <w:right w:val="single" w:color="000000" w:sz="4" w:space="0"/>
            </w:tcBorders>
            <w:shd w:val="clear" w:color="auto" w:fill="auto"/>
            <w:vAlign w:val="center"/>
          </w:tcPr>
          <w:p w14:paraId="2D6D37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04E3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D307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AB9B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67F4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E4EB0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665D5DD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0915A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B4B1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ECBC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1431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172.61 </w:t>
            </w:r>
          </w:p>
        </w:tc>
        <w:tc>
          <w:tcPr>
            <w:tcW w:w="1666" w:type="dxa"/>
            <w:tcBorders>
              <w:top w:val="nil"/>
              <w:left w:val="nil"/>
              <w:bottom w:val="single" w:color="000000" w:sz="4" w:space="0"/>
              <w:right w:val="single" w:color="000000" w:sz="4" w:space="0"/>
            </w:tcBorders>
            <w:shd w:val="clear" w:color="auto" w:fill="auto"/>
            <w:vAlign w:val="center"/>
          </w:tcPr>
          <w:p w14:paraId="0D3830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167.58 </w:t>
            </w:r>
          </w:p>
        </w:tc>
        <w:tc>
          <w:tcPr>
            <w:tcW w:w="1684" w:type="dxa"/>
            <w:tcBorders>
              <w:top w:val="nil"/>
              <w:left w:val="nil"/>
              <w:bottom w:val="single" w:color="000000" w:sz="4" w:space="0"/>
              <w:right w:val="single" w:color="000000" w:sz="4" w:space="0"/>
            </w:tcBorders>
            <w:shd w:val="clear" w:color="auto" w:fill="auto"/>
            <w:vAlign w:val="center"/>
          </w:tcPr>
          <w:p w14:paraId="5D06C3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 </w:t>
            </w:r>
          </w:p>
        </w:tc>
        <w:tc>
          <w:tcPr>
            <w:tcW w:w="1750" w:type="dxa"/>
            <w:tcBorders>
              <w:top w:val="nil"/>
              <w:left w:val="nil"/>
              <w:bottom w:val="single" w:color="000000" w:sz="4" w:space="0"/>
              <w:right w:val="single" w:color="000000" w:sz="4" w:space="0"/>
            </w:tcBorders>
            <w:shd w:val="clear" w:color="auto" w:fill="auto"/>
            <w:vAlign w:val="center"/>
          </w:tcPr>
          <w:p w14:paraId="06F5C7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172.61 </w:t>
            </w:r>
          </w:p>
        </w:tc>
        <w:tc>
          <w:tcPr>
            <w:tcW w:w="1700" w:type="dxa"/>
            <w:tcBorders>
              <w:top w:val="nil"/>
              <w:left w:val="nil"/>
              <w:bottom w:val="single" w:color="000000" w:sz="4" w:space="0"/>
              <w:right w:val="single" w:color="000000" w:sz="4" w:space="0"/>
            </w:tcBorders>
            <w:shd w:val="clear" w:color="auto" w:fill="auto"/>
            <w:vAlign w:val="center"/>
          </w:tcPr>
          <w:p w14:paraId="6D5EAB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167.58 </w:t>
            </w:r>
          </w:p>
        </w:tc>
        <w:tc>
          <w:tcPr>
            <w:tcW w:w="1733" w:type="dxa"/>
            <w:tcBorders>
              <w:top w:val="nil"/>
              <w:left w:val="nil"/>
              <w:bottom w:val="single" w:color="000000" w:sz="4" w:space="0"/>
              <w:right w:val="single" w:color="000000" w:sz="4" w:space="0"/>
            </w:tcBorders>
            <w:shd w:val="clear" w:color="auto" w:fill="auto"/>
            <w:vAlign w:val="center"/>
          </w:tcPr>
          <w:p w14:paraId="35F268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 </w:t>
            </w:r>
          </w:p>
        </w:tc>
        <w:tc>
          <w:tcPr>
            <w:tcW w:w="1583" w:type="dxa"/>
            <w:tcBorders>
              <w:top w:val="nil"/>
              <w:left w:val="nil"/>
              <w:bottom w:val="single" w:color="000000" w:sz="4" w:space="0"/>
              <w:right w:val="single" w:color="000000" w:sz="4" w:space="0"/>
            </w:tcBorders>
            <w:shd w:val="clear" w:color="auto" w:fill="auto"/>
            <w:vAlign w:val="center"/>
          </w:tcPr>
          <w:p w14:paraId="0882A8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7592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F7A0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7D89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5E0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FD34E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680662E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5B0428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FC21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00A5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04CC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172.61 </w:t>
            </w:r>
          </w:p>
        </w:tc>
        <w:tc>
          <w:tcPr>
            <w:tcW w:w="1666" w:type="dxa"/>
            <w:tcBorders>
              <w:top w:val="nil"/>
              <w:left w:val="nil"/>
              <w:bottom w:val="single" w:color="000000" w:sz="4" w:space="0"/>
              <w:right w:val="single" w:color="000000" w:sz="4" w:space="0"/>
            </w:tcBorders>
            <w:shd w:val="clear" w:color="auto" w:fill="auto"/>
            <w:vAlign w:val="center"/>
          </w:tcPr>
          <w:p w14:paraId="4090AC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167.58 </w:t>
            </w:r>
          </w:p>
        </w:tc>
        <w:tc>
          <w:tcPr>
            <w:tcW w:w="1684" w:type="dxa"/>
            <w:tcBorders>
              <w:top w:val="nil"/>
              <w:left w:val="nil"/>
              <w:bottom w:val="single" w:color="000000" w:sz="4" w:space="0"/>
              <w:right w:val="single" w:color="000000" w:sz="4" w:space="0"/>
            </w:tcBorders>
            <w:shd w:val="clear" w:color="auto" w:fill="auto"/>
            <w:vAlign w:val="center"/>
          </w:tcPr>
          <w:p w14:paraId="19AACA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 </w:t>
            </w:r>
          </w:p>
        </w:tc>
        <w:tc>
          <w:tcPr>
            <w:tcW w:w="1750" w:type="dxa"/>
            <w:tcBorders>
              <w:top w:val="nil"/>
              <w:left w:val="nil"/>
              <w:bottom w:val="single" w:color="000000" w:sz="4" w:space="0"/>
              <w:right w:val="single" w:color="000000" w:sz="4" w:space="0"/>
            </w:tcBorders>
            <w:shd w:val="clear" w:color="auto" w:fill="auto"/>
            <w:vAlign w:val="center"/>
          </w:tcPr>
          <w:p w14:paraId="0D85C0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172.61 </w:t>
            </w:r>
          </w:p>
        </w:tc>
        <w:tc>
          <w:tcPr>
            <w:tcW w:w="1700" w:type="dxa"/>
            <w:tcBorders>
              <w:top w:val="nil"/>
              <w:left w:val="nil"/>
              <w:bottom w:val="single" w:color="000000" w:sz="4" w:space="0"/>
              <w:right w:val="single" w:color="000000" w:sz="4" w:space="0"/>
            </w:tcBorders>
            <w:shd w:val="clear" w:color="auto" w:fill="auto"/>
            <w:vAlign w:val="center"/>
          </w:tcPr>
          <w:p w14:paraId="50BCA6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167.58 </w:t>
            </w:r>
          </w:p>
        </w:tc>
        <w:tc>
          <w:tcPr>
            <w:tcW w:w="1733" w:type="dxa"/>
            <w:tcBorders>
              <w:top w:val="nil"/>
              <w:left w:val="nil"/>
              <w:bottom w:val="single" w:color="000000" w:sz="4" w:space="0"/>
              <w:right w:val="single" w:color="000000" w:sz="4" w:space="0"/>
            </w:tcBorders>
            <w:shd w:val="clear" w:color="auto" w:fill="auto"/>
            <w:vAlign w:val="center"/>
          </w:tcPr>
          <w:p w14:paraId="6895EC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 </w:t>
            </w:r>
          </w:p>
        </w:tc>
        <w:tc>
          <w:tcPr>
            <w:tcW w:w="1583" w:type="dxa"/>
            <w:tcBorders>
              <w:top w:val="nil"/>
              <w:left w:val="nil"/>
              <w:bottom w:val="single" w:color="000000" w:sz="4" w:space="0"/>
              <w:right w:val="single" w:color="000000" w:sz="4" w:space="0"/>
            </w:tcBorders>
            <w:shd w:val="clear" w:color="auto" w:fill="auto"/>
            <w:vAlign w:val="center"/>
          </w:tcPr>
          <w:p w14:paraId="0D34D0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069E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B499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9E5B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F4E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A698F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2010106</w:t>
            </w:r>
          </w:p>
        </w:tc>
        <w:tc>
          <w:tcPr>
            <w:tcW w:w="1816" w:type="dxa"/>
            <w:tcBorders>
              <w:top w:val="nil"/>
              <w:left w:val="nil"/>
              <w:bottom w:val="single" w:color="000000" w:sz="4" w:space="0"/>
              <w:right w:val="single" w:color="000000" w:sz="4" w:space="0"/>
            </w:tcBorders>
            <w:shd w:val="clear" w:color="auto" w:fill="auto"/>
            <w:vAlign w:val="center"/>
          </w:tcPr>
          <w:p w14:paraId="64AB615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人大监督</w:t>
            </w:r>
          </w:p>
        </w:tc>
        <w:tc>
          <w:tcPr>
            <w:tcW w:w="1528" w:type="dxa"/>
            <w:tcBorders>
              <w:top w:val="nil"/>
              <w:left w:val="nil"/>
              <w:bottom w:val="single" w:color="000000" w:sz="4" w:space="0"/>
              <w:right w:val="single" w:color="000000" w:sz="4" w:space="0"/>
            </w:tcBorders>
            <w:shd w:val="clear" w:color="auto" w:fill="auto"/>
            <w:vAlign w:val="center"/>
          </w:tcPr>
          <w:p w14:paraId="7AFF18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9C70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3679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DCEB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 </w:t>
            </w:r>
          </w:p>
        </w:tc>
        <w:tc>
          <w:tcPr>
            <w:tcW w:w="1666" w:type="dxa"/>
            <w:tcBorders>
              <w:top w:val="nil"/>
              <w:left w:val="nil"/>
              <w:bottom w:val="single" w:color="000000" w:sz="4" w:space="0"/>
              <w:right w:val="single" w:color="000000" w:sz="4" w:space="0"/>
            </w:tcBorders>
            <w:shd w:val="clear" w:color="auto" w:fill="auto"/>
            <w:vAlign w:val="center"/>
          </w:tcPr>
          <w:p w14:paraId="257A79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B253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 </w:t>
            </w:r>
          </w:p>
        </w:tc>
        <w:tc>
          <w:tcPr>
            <w:tcW w:w="1750" w:type="dxa"/>
            <w:tcBorders>
              <w:top w:val="nil"/>
              <w:left w:val="nil"/>
              <w:bottom w:val="single" w:color="000000" w:sz="4" w:space="0"/>
              <w:right w:val="single" w:color="000000" w:sz="4" w:space="0"/>
            </w:tcBorders>
            <w:shd w:val="clear" w:color="auto" w:fill="auto"/>
            <w:vAlign w:val="center"/>
          </w:tcPr>
          <w:p w14:paraId="61B61C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 </w:t>
            </w:r>
          </w:p>
        </w:tc>
        <w:tc>
          <w:tcPr>
            <w:tcW w:w="1700" w:type="dxa"/>
            <w:tcBorders>
              <w:top w:val="nil"/>
              <w:left w:val="nil"/>
              <w:bottom w:val="single" w:color="000000" w:sz="4" w:space="0"/>
              <w:right w:val="single" w:color="000000" w:sz="4" w:space="0"/>
            </w:tcBorders>
            <w:shd w:val="clear" w:color="auto" w:fill="auto"/>
            <w:vAlign w:val="center"/>
          </w:tcPr>
          <w:p w14:paraId="4BFAD0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21B8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 </w:t>
            </w:r>
          </w:p>
        </w:tc>
        <w:tc>
          <w:tcPr>
            <w:tcW w:w="1583" w:type="dxa"/>
            <w:tcBorders>
              <w:top w:val="nil"/>
              <w:left w:val="nil"/>
              <w:bottom w:val="single" w:color="000000" w:sz="4" w:space="0"/>
              <w:right w:val="single" w:color="000000" w:sz="4" w:space="0"/>
            </w:tcBorders>
            <w:shd w:val="clear" w:color="auto" w:fill="auto"/>
            <w:vAlign w:val="center"/>
          </w:tcPr>
          <w:p w14:paraId="73AFA5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7636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9BA8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219C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A38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0DEBE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2010150</w:t>
            </w:r>
          </w:p>
        </w:tc>
        <w:tc>
          <w:tcPr>
            <w:tcW w:w="1816" w:type="dxa"/>
            <w:tcBorders>
              <w:top w:val="nil"/>
              <w:left w:val="nil"/>
              <w:bottom w:val="single" w:color="000000" w:sz="4" w:space="0"/>
              <w:right w:val="single" w:color="000000" w:sz="4" w:space="0"/>
            </w:tcBorders>
            <w:shd w:val="clear" w:color="auto" w:fill="auto"/>
            <w:vAlign w:val="center"/>
          </w:tcPr>
          <w:p w14:paraId="46EC68A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3DB8E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2113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D4EC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2363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167.58 </w:t>
            </w:r>
          </w:p>
        </w:tc>
        <w:tc>
          <w:tcPr>
            <w:tcW w:w="1666" w:type="dxa"/>
            <w:tcBorders>
              <w:top w:val="nil"/>
              <w:left w:val="nil"/>
              <w:bottom w:val="single" w:color="000000" w:sz="4" w:space="0"/>
              <w:right w:val="single" w:color="000000" w:sz="4" w:space="0"/>
            </w:tcBorders>
            <w:shd w:val="clear" w:color="auto" w:fill="auto"/>
            <w:vAlign w:val="center"/>
          </w:tcPr>
          <w:p w14:paraId="7355CA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167.58 </w:t>
            </w:r>
          </w:p>
        </w:tc>
        <w:tc>
          <w:tcPr>
            <w:tcW w:w="1684" w:type="dxa"/>
            <w:tcBorders>
              <w:top w:val="nil"/>
              <w:left w:val="nil"/>
              <w:bottom w:val="single" w:color="000000" w:sz="4" w:space="0"/>
              <w:right w:val="single" w:color="000000" w:sz="4" w:space="0"/>
            </w:tcBorders>
            <w:shd w:val="clear" w:color="auto" w:fill="auto"/>
            <w:vAlign w:val="center"/>
          </w:tcPr>
          <w:p w14:paraId="5AEAF9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055A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167.58 </w:t>
            </w:r>
          </w:p>
        </w:tc>
        <w:tc>
          <w:tcPr>
            <w:tcW w:w="1700" w:type="dxa"/>
            <w:tcBorders>
              <w:top w:val="nil"/>
              <w:left w:val="nil"/>
              <w:bottom w:val="single" w:color="000000" w:sz="4" w:space="0"/>
              <w:right w:val="single" w:color="000000" w:sz="4" w:space="0"/>
            </w:tcBorders>
            <w:shd w:val="clear" w:color="auto" w:fill="auto"/>
            <w:vAlign w:val="center"/>
          </w:tcPr>
          <w:p w14:paraId="36DC50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167.58 </w:t>
            </w:r>
          </w:p>
        </w:tc>
        <w:tc>
          <w:tcPr>
            <w:tcW w:w="1733" w:type="dxa"/>
            <w:tcBorders>
              <w:top w:val="nil"/>
              <w:left w:val="nil"/>
              <w:bottom w:val="single" w:color="000000" w:sz="4" w:space="0"/>
              <w:right w:val="single" w:color="000000" w:sz="4" w:space="0"/>
            </w:tcBorders>
            <w:shd w:val="clear" w:color="auto" w:fill="auto"/>
            <w:vAlign w:val="center"/>
          </w:tcPr>
          <w:p w14:paraId="613997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267E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42E8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AAE1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8242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939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184AD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49973D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FA388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6CCC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D9E4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7DAE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31.82 </w:t>
            </w:r>
          </w:p>
        </w:tc>
        <w:tc>
          <w:tcPr>
            <w:tcW w:w="1666" w:type="dxa"/>
            <w:tcBorders>
              <w:top w:val="nil"/>
              <w:left w:val="nil"/>
              <w:bottom w:val="single" w:color="000000" w:sz="4" w:space="0"/>
              <w:right w:val="single" w:color="000000" w:sz="4" w:space="0"/>
            </w:tcBorders>
            <w:shd w:val="clear" w:color="auto" w:fill="auto"/>
            <w:vAlign w:val="center"/>
          </w:tcPr>
          <w:p w14:paraId="7359C4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31.82 </w:t>
            </w:r>
          </w:p>
        </w:tc>
        <w:tc>
          <w:tcPr>
            <w:tcW w:w="1684" w:type="dxa"/>
            <w:tcBorders>
              <w:top w:val="nil"/>
              <w:left w:val="nil"/>
              <w:bottom w:val="single" w:color="000000" w:sz="4" w:space="0"/>
              <w:right w:val="single" w:color="000000" w:sz="4" w:space="0"/>
            </w:tcBorders>
            <w:shd w:val="clear" w:color="auto" w:fill="auto"/>
            <w:vAlign w:val="center"/>
          </w:tcPr>
          <w:p w14:paraId="273508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58B0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31.82 </w:t>
            </w:r>
          </w:p>
        </w:tc>
        <w:tc>
          <w:tcPr>
            <w:tcW w:w="1700" w:type="dxa"/>
            <w:tcBorders>
              <w:top w:val="nil"/>
              <w:left w:val="nil"/>
              <w:bottom w:val="single" w:color="000000" w:sz="4" w:space="0"/>
              <w:right w:val="single" w:color="000000" w:sz="4" w:space="0"/>
            </w:tcBorders>
            <w:shd w:val="clear" w:color="auto" w:fill="auto"/>
            <w:vAlign w:val="center"/>
          </w:tcPr>
          <w:p w14:paraId="527BE0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31.82 </w:t>
            </w:r>
          </w:p>
        </w:tc>
        <w:tc>
          <w:tcPr>
            <w:tcW w:w="1733" w:type="dxa"/>
            <w:tcBorders>
              <w:top w:val="nil"/>
              <w:left w:val="nil"/>
              <w:bottom w:val="single" w:color="000000" w:sz="4" w:space="0"/>
              <w:right w:val="single" w:color="000000" w:sz="4" w:space="0"/>
            </w:tcBorders>
            <w:shd w:val="clear" w:color="auto" w:fill="auto"/>
            <w:vAlign w:val="center"/>
          </w:tcPr>
          <w:p w14:paraId="441BAE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9B20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8877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B403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048B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328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733FF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D8C2F5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88F62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A4C2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2574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7E6B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31.82 </w:t>
            </w:r>
          </w:p>
        </w:tc>
        <w:tc>
          <w:tcPr>
            <w:tcW w:w="1666" w:type="dxa"/>
            <w:tcBorders>
              <w:top w:val="nil"/>
              <w:left w:val="nil"/>
              <w:bottom w:val="single" w:color="000000" w:sz="4" w:space="0"/>
              <w:right w:val="single" w:color="000000" w:sz="4" w:space="0"/>
            </w:tcBorders>
            <w:shd w:val="clear" w:color="auto" w:fill="auto"/>
            <w:vAlign w:val="center"/>
          </w:tcPr>
          <w:p w14:paraId="3AC31B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31.82 </w:t>
            </w:r>
          </w:p>
        </w:tc>
        <w:tc>
          <w:tcPr>
            <w:tcW w:w="1684" w:type="dxa"/>
            <w:tcBorders>
              <w:top w:val="nil"/>
              <w:left w:val="nil"/>
              <w:bottom w:val="single" w:color="000000" w:sz="4" w:space="0"/>
              <w:right w:val="single" w:color="000000" w:sz="4" w:space="0"/>
            </w:tcBorders>
            <w:shd w:val="clear" w:color="auto" w:fill="auto"/>
            <w:vAlign w:val="center"/>
          </w:tcPr>
          <w:p w14:paraId="3192FB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584C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31.82 </w:t>
            </w:r>
          </w:p>
        </w:tc>
        <w:tc>
          <w:tcPr>
            <w:tcW w:w="1700" w:type="dxa"/>
            <w:tcBorders>
              <w:top w:val="nil"/>
              <w:left w:val="nil"/>
              <w:bottom w:val="single" w:color="000000" w:sz="4" w:space="0"/>
              <w:right w:val="single" w:color="000000" w:sz="4" w:space="0"/>
            </w:tcBorders>
            <w:shd w:val="clear" w:color="auto" w:fill="auto"/>
            <w:vAlign w:val="center"/>
          </w:tcPr>
          <w:p w14:paraId="7FCB29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31.82 </w:t>
            </w:r>
          </w:p>
        </w:tc>
        <w:tc>
          <w:tcPr>
            <w:tcW w:w="1733" w:type="dxa"/>
            <w:tcBorders>
              <w:top w:val="nil"/>
              <w:left w:val="nil"/>
              <w:bottom w:val="single" w:color="000000" w:sz="4" w:space="0"/>
              <w:right w:val="single" w:color="000000" w:sz="4" w:space="0"/>
            </w:tcBorders>
            <w:shd w:val="clear" w:color="auto" w:fill="auto"/>
            <w:vAlign w:val="center"/>
          </w:tcPr>
          <w:p w14:paraId="35B0B5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C091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5BF4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EA92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EC08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779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4DC7E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69A265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37303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B0E7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0629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9A29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21.29 </w:t>
            </w:r>
          </w:p>
        </w:tc>
        <w:tc>
          <w:tcPr>
            <w:tcW w:w="1666" w:type="dxa"/>
            <w:tcBorders>
              <w:top w:val="nil"/>
              <w:left w:val="nil"/>
              <w:bottom w:val="single" w:color="000000" w:sz="4" w:space="0"/>
              <w:right w:val="single" w:color="000000" w:sz="4" w:space="0"/>
            </w:tcBorders>
            <w:shd w:val="clear" w:color="auto" w:fill="auto"/>
            <w:vAlign w:val="center"/>
          </w:tcPr>
          <w:p w14:paraId="606C43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21.29 </w:t>
            </w:r>
          </w:p>
        </w:tc>
        <w:tc>
          <w:tcPr>
            <w:tcW w:w="1684" w:type="dxa"/>
            <w:tcBorders>
              <w:top w:val="nil"/>
              <w:left w:val="nil"/>
              <w:bottom w:val="single" w:color="000000" w:sz="4" w:space="0"/>
              <w:right w:val="single" w:color="000000" w:sz="4" w:space="0"/>
            </w:tcBorders>
            <w:shd w:val="clear" w:color="auto" w:fill="auto"/>
            <w:vAlign w:val="center"/>
          </w:tcPr>
          <w:p w14:paraId="389AB3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4202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21.29 </w:t>
            </w:r>
          </w:p>
        </w:tc>
        <w:tc>
          <w:tcPr>
            <w:tcW w:w="1700" w:type="dxa"/>
            <w:tcBorders>
              <w:top w:val="nil"/>
              <w:left w:val="nil"/>
              <w:bottom w:val="single" w:color="000000" w:sz="4" w:space="0"/>
              <w:right w:val="single" w:color="000000" w:sz="4" w:space="0"/>
            </w:tcBorders>
            <w:shd w:val="clear" w:color="auto" w:fill="auto"/>
            <w:vAlign w:val="center"/>
          </w:tcPr>
          <w:p w14:paraId="7B1B91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21.29 </w:t>
            </w:r>
          </w:p>
        </w:tc>
        <w:tc>
          <w:tcPr>
            <w:tcW w:w="1733" w:type="dxa"/>
            <w:tcBorders>
              <w:top w:val="nil"/>
              <w:left w:val="nil"/>
              <w:bottom w:val="single" w:color="000000" w:sz="4" w:space="0"/>
              <w:right w:val="single" w:color="000000" w:sz="4" w:space="0"/>
            </w:tcBorders>
            <w:shd w:val="clear" w:color="auto" w:fill="auto"/>
            <w:vAlign w:val="center"/>
          </w:tcPr>
          <w:p w14:paraId="2EB788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1C7E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7AC2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FB84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7591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979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86030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6B655A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C726E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2AF4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F64B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6B63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10.53 </w:t>
            </w:r>
          </w:p>
        </w:tc>
        <w:tc>
          <w:tcPr>
            <w:tcW w:w="1666" w:type="dxa"/>
            <w:tcBorders>
              <w:top w:val="nil"/>
              <w:left w:val="nil"/>
              <w:bottom w:val="single" w:color="000000" w:sz="4" w:space="0"/>
              <w:right w:val="single" w:color="000000" w:sz="4" w:space="0"/>
            </w:tcBorders>
            <w:shd w:val="clear" w:color="auto" w:fill="auto"/>
            <w:vAlign w:val="center"/>
          </w:tcPr>
          <w:p w14:paraId="4EF537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10.53 </w:t>
            </w:r>
          </w:p>
        </w:tc>
        <w:tc>
          <w:tcPr>
            <w:tcW w:w="1684" w:type="dxa"/>
            <w:tcBorders>
              <w:top w:val="nil"/>
              <w:left w:val="nil"/>
              <w:bottom w:val="single" w:color="000000" w:sz="4" w:space="0"/>
              <w:right w:val="single" w:color="000000" w:sz="4" w:space="0"/>
            </w:tcBorders>
            <w:shd w:val="clear" w:color="auto" w:fill="auto"/>
            <w:vAlign w:val="center"/>
          </w:tcPr>
          <w:p w14:paraId="2ECC76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E4DB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10.53 </w:t>
            </w:r>
          </w:p>
        </w:tc>
        <w:tc>
          <w:tcPr>
            <w:tcW w:w="1700" w:type="dxa"/>
            <w:tcBorders>
              <w:top w:val="nil"/>
              <w:left w:val="nil"/>
              <w:bottom w:val="single" w:color="000000" w:sz="4" w:space="0"/>
              <w:right w:val="single" w:color="000000" w:sz="4" w:space="0"/>
            </w:tcBorders>
            <w:shd w:val="clear" w:color="auto" w:fill="auto"/>
            <w:vAlign w:val="center"/>
          </w:tcPr>
          <w:p w14:paraId="1DE151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10.53 </w:t>
            </w:r>
          </w:p>
        </w:tc>
        <w:tc>
          <w:tcPr>
            <w:tcW w:w="1733" w:type="dxa"/>
            <w:tcBorders>
              <w:top w:val="nil"/>
              <w:left w:val="nil"/>
              <w:bottom w:val="single" w:color="000000" w:sz="4" w:space="0"/>
              <w:right w:val="single" w:color="000000" w:sz="4" w:space="0"/>
            </w:tcBorders>
            <w:shd w:val="clear" w:color="auto" w:fill="auto"/>
            <w:vAlign w:val="center"/>
          </w:tcPr>
          <w:p w14:paraId="32C81B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2609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3CC8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011D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3351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732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13B0B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E6258A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CE5D7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0546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9348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AD4B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9.10 </w:t>
            </w:r>
          </w:p>
        </w:tc>
        <w:tc>
          <w:tcPr>
            <w:tcW w:w="1666" w:type="dxa"/>
            <w:tcBorders>
              <w:top w:val="nil"/>
              <w:left w:val="nil"/>
              <w:bottom w:val="single" w:color="000000" w:sz="4" w:space="0"/>
              <w:right w:val="single" w:color="000000" w:sz="4" w:space="0"/>
            </w:tcBorders>
            <w:shd w:val="clear" w:color="auto" w:fill="auto"/>
            <w:vAlign w:val="center"/>
          </w:tcPr>
          <w:p w14:paraId="441A2E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9.10 </w:t>
            </w:r>
          </w:p>
        </w:tc>
        <w:tc>
          <w:tcPr>
            <w:tcW w:w="1684" w:type="dxa"/>
            <w:tcBorders>
              <w:top w:val="nil"/>
              <w:left w:val="nil"/>
              <w:bottom w:val="single" w:color="000000" w:sz="4" w:space="0"/>
              <w:right w:val="single" w:color="000000" w:sz="4" w:space="0"/>
            </w:tcBorders>
            <w:shd w:val="clear" w:color="auto" w:fill="auto"/>
            <w:vAlign w:val="center"/>
          </w:tcPr>
          <w:p w14:paraId="17ED99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DB08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9.10 </w:t>
            </w:r>
          </w:p>
        </w:tc>
        <w:tc>
          <w:tcPr>
            <w:tcW w:w="1700" w:type="dxa"/>
            <w:tcBorders>
              <w:top w:val="nil"/>
              <w:left w:val="nil"/>
              <w:bottom w:val="single" w:color="000000" w:sz="4" w:space="0"/>
              <w:right w:val="single" w:color="000000" w:sz="4" w:space="0"/>
            </w:tcBorders>
            <w:shd w:val="clear" w:color="auto" w:fill="auto"/>
            <w:vAlign w:val="center"/>
          </w:tcPr>
          <w:p w14:paraId="4CD83C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9.10 </w:t>
            </w:r>
          </w:p>
        </w:tc>
        <w:tc>
          <w:tcPr>
            <w:tcW w:w="1733" w:type="dxa"/>
            <w:tcBorders>
              <w:top w:val="nil"/>
              <w:left w:val="nil"/>
              <w:bottom w:val="single" w:color="000000" w:sz="4" w:space="0"/>
              <w:right w:val="single" w:color="000000" w:sz="4" w:space="0"/>
            </w:tcBorders>
            <w:shd w:val="clear" w:color="auto" w:fill="auto"/>
            <w:vAlign w:val="center"/>
          </w:tcPr>
          <w:p w14:paraId="0EC7A5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ED75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E307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5E3B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04CC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286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51000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C10AC3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6CA08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15FF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A238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9384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9.10 </w:t>
            </w:r>
          </w:p>
        </w:tc>
        <w:tc>
          <w:tcPr>
            <w:tcW w:w="1666" w:type="dxa"/>
            <w:tcBorders>
              <w:top w:val="nil"/>
              <w:left w:val="nil"/>
              <w:bottom w:val="single" w:color="000000" w:sz="4" w:space="0"/>
              <w:right w:val="single" w:color="000000" w:sz="4" w:space="0"/>
            </w:tcBorders>
            <w:shd w:val="clear" w:color="auto" w:fill="auto"/>
            <w:vAlign w:val="center"/>
          </w:tcPr>
          <w:p w14:paraId="66D1A6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9.10 </w:t>
            </w:r>
          </w:p>
        </w:tc>
        <w:tc>
          <w:tcPr>
            <w:tcW w:w="1684" w:type="dxa"/>
            <w:tcBorders>
              <w:top w:val="nil"/>
              <w:left w:val="nil"/>
              <w:bottom w:val="single" w:color="000000" w:sz="4" w:space="0"/>
              <w:right w:val="single" w:color="000000" w:sz="4" w:space="0"/>
            </w:tcBorders>
            <w:shd w:val="clear" w:color="auto" w:fill="auto"/>
            <w:vAlign w:val="center"/>
          </w:tcPr>
          <w:p w14:paraId="6CD5C4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3BBA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9.10 </w:t>
            </w:r>
          </w:p>
        </w:tc>
        <w:tc>
          <w:tcPr>
            <w:tcW w:w="1700" w:type="dxa"/>
            <w:tcBorders>
              <w:top w:val="nil"/>
              <w:left w:val="nil"/>
              <w:bottom w:val="single" w:color="000000" w:sz="4" w:space="0"/>
              <w:right w:val="single" w:color="000000" w:sz="4" w:space="0"/>
            </w:tcBorders>
            <w:shd w:val="clear" w:color="auto" w:fill="auto"/>
            <w:vAlign w:val="center"/>
          </w:tcPr>
          <w:p w14:paraId="328906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9.10 </w:t>
            </w:r>
          </w:p>
        </w:tc>
        <w:tc>
          <w:tcPr>
            <w:tcW w:w="1733" w:type="dxa"/>
            <w:tcBorders>
              <w:top w:val="nil"/>
              <w:left w:val="nil"/>
              <w:bottom w:val="single" w:color="000000" w:sz="4" w:space="0"/>
              <w:right w:val="single" w:color="000000" w:sz="4" w:space="0"/>
            </w:tcBorders>
            <w:shd w:val="clear" w:color="auto" w:fill="auto"/>
            <w:vAlign w:val="center"/>
          </w:tcPr>
          <w:p w14:paraId="67DB90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839D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34F4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52EE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51E2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273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AC461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6C69E1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A0A43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09E0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47B4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7530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9.10 </w:t>
            </w:r>
          </w:p>
        </w:tc>
        <w:tc>
          <w:tcPr>
            <w:tcW w:w="1666" w:type="dxa"/>
            <w:tcBorders>
              <w:top w:val="nil"/>
              <w:left w:val="nil"/>
              <w:bottom w:val="single" w:color="000000" w:sz="4" w:space="0"/>
              <w:right w:val="single" w:color="000000" w:sz="4" w:space="0"/>
            </w:tcBorders>
            <w:shd w:val="clear" w:color="auto" w:fill="auto"/>
            <w:vAlign w:val="center"/>
          </w:tcPr>
          <w:p w14:paraId="0F3C51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9.10 </w:t>
            </w:r>
          </w:p>
        </w:tc>
        <w:tc>
          <w:tcPr>
            <w:tcW w:w="1684" w:type="dxa"/>
            <w:tcBorders>
              <w:top w:val="nil"/>
              <w:left w:val="nil"/>
              <w:bottom w:val="single" w:color="000000" w:sz="4" w:space="0"/>
              <w:right w:val="single" w:color="000000" w:sz="4" w:space="0"/>
            </w:tcBorders>
            <w:shd w:val="clear" w:color="auto" w:fill="auto"/>
            <w:vAlign w:val="center"/>
          </w:tcPr>
          <w:p w14:paraId="5E2326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9B80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9.10 </w:t>
            </w:r>
          </w:p>
        </w:tc>
        <w:tc>
          <w:tcPr>
            <w:tcW w:w="1700" w:type="dxa"/>
            <w:tcBorders>
              <w:top w:val="nil"/>
              <w:left w:val="nil"/>
              <w:bottom w:val="single" w:color="000000" w:sz="4" w:space="0"/>
              <w:right w:val="single" w:color="000000" w:sz="4" w:space="0"/>
            </w:tcBorders>
            <w:shd w:val="clear" w:color="auto" w:fill="auto"/>
            <w:vAlign w:val="center"/>
          </w:tcPr>
          <w:p w14:paraId="6D124C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9.10 </w:t>
            </w:r>
          </w:p>
        </w:tc>
        <w:tc>
          <w:tcPr>
            <w:tcW w:w="1733" w:type="dxa"/>
            <w:tcBorders>
              <w:top w:val="nil"/>
              <w:left w:val="nil"/>
              <w:bottom w:val="single" w:color="000000" w:sz="4" w:space="0"/>
              <w:right w:val="single" w:color="000000" w:sz="4" w:space="0"/>
            </w:tcBorders>
            <w:shd w:val="clear" w:color="auto" w:fill="auto"/>
            <w:vAlign w:val="center"/>
          </w:tcPr>
          <w:p w14:paraId="45C94F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90F4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CB56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622A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DA4F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D39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2C088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E9FE05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C3EE1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91DD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EF05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53D9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10.92 </w:t>
            </w:r>
          </w:p>
        </w:tc>
        <w:tc>
          <w:tcPr>
            <w:tcW w:w="1666" w:type="dxa"/>
            <w:tcBorders>
              <w:top w:val="nil"/>
              <w:left w:val="nil"/>
              <w:bottom w:val="single" w:color="000000" w:sz="4" w:space="0"/>
              <w:right w:val="single" w:color="000000" w:sz="4" w:space="0"/>
            </w:tcBorders>
            <w:shd w:val="clear" w:color="auto" w:fill="auto"/>
            <w:vAlign w:val="center"/>
          </w:tcPr>
          <w:p w14:paraId="6A94AB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10.92 </w:t>
            </w:r>
          </w:p>
        </w:tc>
        <w:tc>
          <w:tcPr>
            <w:tcW w:w="1684" w:type="dxa"/>
            <w:tcBorders>
              <w:top w:val="nil"/>
              <w:left w:val="nil"/>
              <w:bottom w:val="single" w:color="000000" w:sz="4" w:space="0"/>
              <w:right w:val="single" w:color="000000" w:sz="4" w:space="0"/>
            </w:tcBorders>
            <w:shd w:val="clear" w:color="auto" w:fill="auto"/>
            <w:vAlign w:val="center"/>
          </w:tcPr>
          <w:p w14:paraId="74C5F1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B0CD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10.92 </w:t>
            </w:r>
          </w:p>
        </w:tc>
        <w:tc>
          <w:tcPr>
            <w:tcW w:w="1700" w:type="dxa"/>
            <w:tcBorders>
              <w:top w:val="nil"/>
              <w:left w:val="nil"/>
              <w:bottom w:val="single" w:color="000000" w:sz="4" w:space="0"/>
              <w:right w:val="single" w:color="000000" w:sz="4" w:space="0"/>
            </w:tcBorders>
            <w:shd w:val="clear" w:color="auto" w:fill="auto"/>
            <w:vAlign w:val="center"/>
          </w:tcPr>
          <w:p w14:paraId="724A37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10.92 </w:t>
            </w:r>
          </w:p>
        </w:tc>
        <w:tc>
          <w:tcPr>
            <w:tcW w:w="1733" w:type="dxa"/>
            <w:tcBorders>
              <w:top w:val="nil"/>
              <w:left w:val="nil"/>
              <w:bottom w:val="single" w:color="000000" w:sz="4" w:space="0"/>
              <w:right w:val="single" w:color="000000" w:sz="4" w:space="0"/>
            </w:tcBorders>
            <w:shd w:val="clear" w:color="auto" w:fill="auto"/>
            <w:vAlign w:val="center"/>
          </w:tcPr>
          <w:p w14:paraId="7C172B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CE54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5988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34A7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281C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CDB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7E887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F43AA7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2BCBB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A02D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A8C7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493D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10.92 </w:t>
            </w:r>
          </w:p>
        </w:tc>
        <w:tc>
          <w:tcPr>
            <w:tcW w:w="1666" w:type="dxa"/>
            <w:tcBorders>
              <w:top w:val="nil"/>
              <w:left w:val="nil"/>
              <w:bottom w:val="single" w:color="000000" w:sz="4" w:space="0"/>
              <w:right w:val="single" w:color="000000" w:sz="4" w:space="0"/>
            </w:tcBorders>
            <w:shd w:val="clear" w:color="auto" w:fill="auto"/>
            <w:vAlign w:val="center"/>
          </w:tcPr>
          <w:p w14:paraId="183681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10.92 </w:t>
            </w:r>
          </w:p>
        </w:tc>
        <w:tc>
          <w:tcPr>
            <w:tcW w:w="1684" w:type="dxa"/>
            <w:tcBorders>
              <w:top w:val="nil"/>
              <w:left w:val="nil"/>
              <w:bottom w:val="single" w:color="000000" w:sz="4" w:space="0"/>
              <w:right w:val="single" w:color="000000" w:sz="4" w:space="0"/>
            </w:tcBorders>
            <w:shd w:val="clear" w:color="auto" w:fill="auto"/>
            <w:vAlign w:val="center"/>
          </w:tcPr>
          <w:p w14:paraId="27C309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C866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10.92 </w:t>
            </w:r>
          </w:p>
        </w:tc>
        <w:tc>
          <w:tcPr>
            <w:tcW w:w="1700" w:type="dxa"/>
            <w:tcBorders>
              <w:top w:val="nil"/>
              <w:left w:val="nil"/>
              <w:bottom w:val="single" w:color="000000" w:sz="4" w:space="0"/>
              <w:right w:val="single" w:color="000000" w:sz="4" w:space="0"/>
            </w:tcBorders>
            <w:shd w:val="clear" w:color="auto" w:fill="auto"/>
            <w:vAlign w:val="center"/>
          </w:tcPr>
          <w:p w14:paraId="17B827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10.92 </w:t>
            </w:r>
          </w:p>
        </w:tc>
        <w:tc>
          <w:tcPr>
            <w:tcW w:w="1733" w:type="dxa"/>
            <w:tcBorders>
              <w:top w:val="nil"/>
              <w:left w:val="nil"/>
              <w:bottom w:val="single" w:color="000000" w:sz="4" w:space="0"/>
              <w:right w:val="single" w:color="000000" w:sz="4" w:space="0"/>
            </w:tcBorders>
            <w:shd w:val="clear" w:color="auto" w:fill="auto"/>
            <w:vAlign w:val="center"/>
          </w:tcPr>
          <w:p w14:paraId="21D96B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8889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F4C8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5E7C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F315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759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59A00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D74773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C2423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17BD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946B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6D37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10.92 </w:t>
            </w:r>
          </w:p>
        </w:tc>
        <w:tc>
          <w:tcPr>
            <w:tcW w:w="1666" w:type="dxa"/>
            <w:tcBorders>
              <w:top w:val="nil"/>
              <w:left w:val="nil"/>
              <w:bottom w:val="single" w:color="000000" w:sz="4" w:space="0"/>
              <w:right w:val="single" w:color="000000" w:sz="4" w:space="0"/>
            </w:tcBorders>
            <w:shd w:val="clear" w:color="auto" w:fill="auto"/>
            <w:vAlign w:val="center"/>
          </w:tcPr>
          <w:p w14:paraId="4BE994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10.92 </w:t>
            </w:r>
          </w:p>
        </w:tc>
        <w:tc>
          <w:tcPr>
            <w:tcW w:w="1684" w:type="dxa"/>
            <w:tcBorders>
              <w:top w:val="nil"/>
              <w:left w:val="nil"/>
              <w:bottom w:val="single" w:color="000000" w:sz="4" w:space="0"/>
              <w:right w:val="single" w:color="000000" w:sz="4" w:space="0"/>
            </w:tcBorders>
            <w:shd w:val="clear" w:color="auto" w:fill="auto"/>
            <w:vAlign w:val="center"/>
          </w:tcPr>
          <w:p w14:paraId="789D87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FA46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10.92 </w:t>
            </w:r>
          </w:p>
        </w:tc>
        <w:tc>
          <w:tcPr>
            <w:tcW w:w="1700" w:type="dxa"/>
            <w:tcBorders>
              <w:top w:val="nil"/>
              <w:left w:val="nil"/>
              <w:bottom w:val="single" w:color="000000" w:sz="4" w:space="0"/>
              <w:right w:val="single" w:color="000000" w:sz="4" w:space="0"/>
            </w:tcBorders>
            <w:shd w:val="clear" w:color="auto" w:fill="auto"/>
            <w:vAlign w:val="center"/>
          </w:tcPr>
          <w:p w14:paraId="1F7A9C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10.92 </w:t>
            </w:r>
          </w:p>
        </w:tc>
        <w:tc>
          <w:tcPr>
            <w:tcW w:w="1733" w:type="dxa"/>
            <w:tcBorders>
              <w:top w:val="nil"/>
              <w:left w:val="nil"/>
              <w:bottom w:val="single" w:color="000000" w:sz="4" w:space="0"/>
              <w:right w:val="single" w:color="000000" w:sz="4" w:space="0"/>
            </w:tcBorders>
            <w:shd w:val="clear" w:color="auto" w:fill="auto"/>
            <w:vAlign w:val="center"/>
          </w:tcPr>
          <w:p w14:paraId="7B7AEB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AA96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03C9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D99A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A8EB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759E4F66">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8F4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7320BE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一般公共预算财政拨款基本支出决算明细表</w:t>
            </w:r>
          </w:p>
        </w:tc>
      </w:tr>
      <w:tr w14:paraId="20F76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0E349D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巫溪县人大宣传信息中心</w:t>
            </w:r>
          </w:p>
        </w:tc>
        <w:tc>
          <w:tcPr>
            <w:tcW w:w="2682" w:type="dxa"/>
            <w:tcBorders>
              <w:top w:val="nil"/>
              <w:left w:val="nil"/>
              <w:bottom w:val="nil"/>
              <w:right w:val="nil"/>
            </w:tcBorders>
            <w:shd w:val="clear" w:color="auto" w:fill="auto"/>
            <w:vAlign w:val="bottom"/>
          </w:tcPr>
          <w:p w14:paraId="3C414B5E">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06表</w:t>
            </w:r>
          </w:p>
        </w:tc>
      </w:tr>
      <w:tr w14:paraId="7172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3ECA70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2682" w:type="dxa"/>
            <w:tcBorders>
              <w:top w:val="nil"/>
              <w:left w:val="nil"/>
              <w:bottom w:val="nil"/>
              <w:right w:val="nil"/>
            </w:tcBorders>
            <w:shd w:val="clear" w:color="auto" w:fill="auto"/>
            <w:vAlign w:val="bottom"/>
          </w:tcPr>
          <w:p w14:paraId="60D1D9BE">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79B4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74BE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6E802B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公用经费</w:t>
            </w:r>
          </w:p>
        </w:tc>
      </w:tr>
      <w:tr w14:paraId="1AC9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F3B560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859DA0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3F55CA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537333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6ADBED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C6FB45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61C92B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39C940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F424F7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r>
      <w:tr w14:paraId="7E79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925682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C06208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DC441F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D4380C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DA1FB9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079C5D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7D6B15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8E8852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C1F780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71FD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D9E2E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48E947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E83E5D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191.14 </w:t>
            </w:r>
          </w:p>
        </w:tc>
        <w:tc>
          <w:tcPr>
            <w:tcW w:w="1234" w:type="dxa"/>
            <w:tcBorders>
              <w:top w:val="nil"/>
              <w:left w:val="nil"/>
              <w:bottom w:val="single" w:color="000000" w:sz="4" w:space="0"/>
              <w:right w:val="single" w:color="000000" w:sz="4" w:space="0"/>
            </w:tcBorders>
            <w:shd w:val="clear" w:color="auto" w:fill="auto"/>
            <w:vAlign w:val="center"/>
          </w:tcPr>
          <w:p w14:paraId="0096328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1475EE4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F3B335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28.29 </w:t>
            </w:r>
          </w:p>
        </w:tc>
        <w:tc>
          <w:tcPr>
            <w:tcW w:w="1133" w:type="dxa"/>
            <w:tcBorders>
              <w:top w:val="nil"/>
              <w:left w:val="nil"/>
              <w:bottom w:val="single" w:color="000000" w:sz="4" w:space="0"/>
              <w:right w:val="single" w:color="000000" w:sz="4" w:space="0"/>
            </w:tcBorders>
            <w:shd w:val="clear" w:color="auto" w:fill="auto"/>
            <w:vAlign w:val="center"/>
          </w:tcPr>
          <w:p w14:paraId="79744B6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01FFCA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C18C9D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C3A4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398BE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15BB6D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F444BB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49.31 </w:t>
            </w:r>
          </w:p>
        </w:tc>
        <w:tc>
          <w:tcPr>
            <w:tcW w:w="1234" w:type="dxa"/>
            <w:tcBorders>
              <w:top w:val="nil"/>
              <w:left w:val="nil"/>
              <w:bottom w:val="single" w:color="000000" w:sz="4" w:space="0"/>
              <w:right w:val="single" w:color="000000" w:sz="4" w:space="0"/>
            </w:tcBorders>
            <w:shd w:val="clear" w:color="auto" w:fill="auto"/>
            <w:vAlign w:val="center"/>
          </w:tcPr>
          <w:p w14:paraId="3C69991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C654CD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99F7E3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5.45 </w:t>
            </w:r>
          </w:p>
        </w:tc>
        <w:tc>
          <w:tcPr>
            <w:tcW w:w="1133" w:type="dxa"/>
            <w:tcBorders>
              <w:top w:val="nil"/>
              <w:left w:val="nil"/>
              <w:bottom w:val="single" w:color="000000" w:sz="4" w:space="0"/>
              <w:right w:val="single" w:color="000000" w:sz="4" w:space="0"/>
            </w:tcBorders>
            <w:shd w:val="clear" w:color="auto" w:fill="auto"/>
            <w:vAlign w:val="center"/>
          </w:tcPr>
          <w:p w14:paraId="41446A5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1EFE667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0E9CC5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21B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87293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222A6D4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A4047E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8.28 </w:t>
            </w:r>
          </w:p>
        </w:tc>
        <w:tc>
          <w:tcPr>
            <w:tcW w:w="1234" w:type="dxa"/>
            <w:tcBorders>
              <w:top w:val="nil"/>
              <w:left w:val="nil"/>
              <w:bottom w:val="single" w:color="000000" w:sz="4" w:space="0"/>
              <w:right w:val="single" w:color="000000" w:sz="4" w:space="0"/>
            </w:tcBorders>
            <w:shd w:val="clear" w:color="auto" w:fill="auto"/>
            <w:vAlign w:val="center"/>
          </w:tcPr>
          <w:p w14:paraId="3FC91FD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1E4EEF1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BE4105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4B8F199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FEDF1E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70D1EC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137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BEF32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1BEA01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7F875D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ED797F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6B0373C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2D1092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87363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848418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D20396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79D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86B01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556F09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8451BA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2A45E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B8BD8D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EE336E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61207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7E79BBD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85BF12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ED9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C420A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B22110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E2DAE6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81.02 </w:t>
            </w:r>
          </w:p>
        </w:tc>
        <w:tc>
          <w:tcPr>
            <w:tcW w:w="1234" w:type="dxa"/>
            <w:tcBorders>
              <w:top w:val="nil"/>
              <w:left w:val="nil"/>
              <w:bottom w:val="single" w:color="000000" w:sz="4" w:space="0"/>
              <w:right w:val="single" w:color="000000" w:sz="4" w:space="0"/>
            </w:tcBorders>
            <w:shd w:val="clear" w:color="auto" w:fill="auto"/>
            <w:vAlign w:val="center"/>
          </w:tcPr>
          <w:p w14:paraId="21878B4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E8C0F9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9CB67F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D8FE5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0BE550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2F02B7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4170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95157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33973B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5DAD97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21.29 </w:t>
            </w:r>
          </w:p>
        </w:tc>
        <w:tc>
          <w:tcPr>
            <w:tcW w:w="1234" w:type="dxa"/>
            <w:tcBorders>
              <w:top w:val="nil"/>
              <w:left w:val="nil"/>
              <w:bottom w:val="single" w:color="000000" w:sz="4" w:space="0"/>
              <w:right w:val="single" w:color="000000" w:sz="4" w:space="0"/>
            </w:tcBorders>
            <w:shd w:val="clear" w:color="auto" w:fill="auto"/>
            <w:vAlign w:val="center"/>
          </w:tcPr>
          <w:p w14:paraId="3731354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774BFF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4875D0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FC507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2956608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1E801F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D77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B7799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3862839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4CBF71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10.53 </w:t>
            </w:r>
          </w:p>
        </w:tc>
        <w:tc>
          <w:tcPr>
            <w:tcW w:w="1234" w:type="dxa"/>
            <w:tcBorders>
              <w:top w:val="nil"/>
              <w:left w:val="nil"/>
              <w:bottom w:val="single" w:color="000000" w:sz="4" w:space="0"/>
              <w:right w:val="single" w:color="000000" w:sz="4" w:space="0"/>
            </w:tcBorders>
            <w:shd w:val="clear" w:color="auto" w:fill="auto"/>
            <w:vAlign w:val="center"/>
          </w:tcPr>
          <w:p w14:paraId="5E48352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00A712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10039A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14:paraId="371116E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451447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A93E40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360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1A0A1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5ECE4E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CDA529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9.10 </w:t>
            </w:r>
          </w:p>
        </w:tc>
        <w:tc>
          <w:tcPr>
            <w:tcW w:w="1234" w:type="dxa"/>
            <w:tcBorders>
              <w:top w:val="nil"/>
              <w:left w:val="nil"/>
              <w:bottom w:val="single" w:color="000000" w:sz="4" w:space="0"/>
              <w:right w:val="single" w:color="000000" w:sz="4" w:space="0"/>
            </w:tcBorders>
            <w:shd w:val="clear" w:color="auto" w:fill="auto"/>
            <w:vAlign w:val="center"/>
          </w:tcPr>
          <w:p w14:paraId="2F71755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E5F7F0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50D6E1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56567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0409E9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739D67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117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40438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CA2133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0D75E4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47B85A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C98045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A38EDD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68093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2149B2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A4F9E6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710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A5C7C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44D7A7B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06EC43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0.68 </w:t>
            </w:r>
          </w:p>
        </w:tc>
        <w:tc>
          <w:tcPr>
            <w:tcW w:w="1234" w:type="dxa"/>
            <w:tcBorders>
              <w:top w:val="nil"/>
              <w:left w:val="nil"/>
              <w:bottom w:val="single" w:color="000000" w:sz="4" w:space="0"/>
              <w:right w:val="single" w:color="000000" w:sz="4" w:space="0"/>
            </w:tcBorders>
            <w:shd w:val="clear" w:color="auto" w:fill="auto"/>
            <w:vAlign w:val="center"/>
          </w:tcPr>
          <w:p w14:paraId="64F5A53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DFF0F2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172179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3.39 </w:t>
            </w:r>
          </w:p>
        </w:tc>
        <w:tc>
          <w:tcPr>
            <w:tcW w:w="1133" w:type="dxa"/>
            <w:tcBorders>
              <w:top w:val="nil"/>
              <w:left w:val="nil"/>
              <w:bottom w:val="single" w:color="000000" w:sz="4" w:space="0"/>
              <w:right w:val="single" w:color="000000" w:sz="4" w:space="0"/>
            </w:tcBorders>
            <w:shd w:val="clear" w:color="auto" w:fill="auto"/>
            <w:vAlign w:val="center"/>
          </w:tcPr>
          <w:p w14:paraId="3FBA9B2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C7F9B1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E48E4E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730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CCA08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6B510C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DE6A6A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10.92 </w:t>
            </w:r>
          </w:p>
        </w:tc>
        <w:tc>
          <w:tcPr>
            <w:tcW w:w="1234" w:type="dxa"/>
            <w:tcBorders>
              <w:top w:val="nil"/>
              <w:left w:val="nil"/>
              <w:bottom w:val="single" w:color="000000" w:sz="4" w:space="0"/>
              <w:right w:val="single" w:color="000000" w:sz="4" w:space="0"/>
            </w:tcBorders>
            <w:shd w:val="clear" w:color="auto" w:fill="auto"/>
            <w:vAlign w:val="center"/>
          </w:tcPr>
          <w:p w14:paraId="0EA5189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E5E997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8DB017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FA596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47AA61B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C92571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30B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C1775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BB3063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A2D50B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BE42D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26E885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0859C0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E0B07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A0F8DC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DE29FE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71F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4A14F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0924BD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5B2B42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BC8EA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57F630D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30E21F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D0ED5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243ADF9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5B4AB1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CB3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04F03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333071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18ECB6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0440D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9B07AD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384A31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9E2C4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49F1D5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A09C33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523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80420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6FAC40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AB073A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688B9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D6F0F9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EEEAFE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DAE7B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88FE41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C98959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A09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381B9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7D8540E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97BB9C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6A286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9E8589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F366B2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3B151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F16880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31A2BC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9C6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2F8F5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DBDFFA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BD6BA0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54E32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29FEAA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039B84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E436C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2857C1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ABAEAD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508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37062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EC68A4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7FB5ED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271D5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4CBB3C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8C5E1E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E23E1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DAAC0D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3B0864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E99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72386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B5A8C8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D2C160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02B47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1288B0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5A3152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496A5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02A52F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F31021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DAB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3CA3E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C7D1D9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B3CFAB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D3355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8C7A2B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3D67A8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2.55 </w:t>
            </w:r>
          </w:p>
        </w:tc>
        <w:tc>
          <w:tcPr>
            <w:tcW w:w="1133" w:type="dxa"/>
            <w:tcBorders>
              <w:top w:val="nil"/>
              <w:left w:val="nil"/>
              <w:bottom w:val="single" w:color="000000" w:sz="4" w:space="0"/>
              <w:right w:val="single" w:color="000000" w:sz="4" w:space="0"/>
            </w:tcBorders>
            <w:shd w:val="clear" w:color="auto" w:fill="auto"/>
            <w:vAlign w:val="center"/>
          </w:tcPr>
          <w:p w14:paraId="41596CD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66F04D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06E068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2D2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B79E9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71CC9F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6C584E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31936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770ADF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4290AF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656F4B4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DD1B49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C76A6A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73D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98D3F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416ED66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3F9D72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F4245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A58B78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79C3DE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0.55 </w:t>
            </w:r>
          </w:p>
        </w:tc>
        <w:tc>
          <w:tcPr>
            <w:tcW w:w="1133" w:type="dxa"/>
            <w:tcBorders>
              <w:top w:val="nil"/>
              <w:left w:val="nil"/>
              <w:bottom w:val="single" w:color="000000" w:sz="4" w:space="0"/>
              <w:right w:val="single" w:color="000000" w:sz="4" w:space="0"/>
            </w:tcBorders>
            <w:shd w:val="clear" w:color="auto" w:fill="auto"/>
            <w:vAlign w:val="center"/>
          </w:tcPr>
          <w:p w14:paraId="7263B74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7D67973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062752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3FC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D9C96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983B19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39C1D7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A8120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62A8A7E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BAF40D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0.54 </w:t>
            </w:r>
          </w:p>
        </w:tc>
        <w:tc>
          <w:tcPr>
            <w:tcW w:w="1133" w:type="dxa"/>
            <w:tcBorders>
              <w:top w:val="nil"/>
              <w:left w:val="nil"/>
              <w:bottom w:val="single" w:color="000000" w:sz="4" w:space="0"/>
              <w:right w:val="single" w:color="000000" w:sz="4" w:space="0"/>
            </w:tcBorders>
            <w:shd w:val="clear" w:color="auto" w:fill="auto"/>
            <w:vAlign w:val="center"/>
          </w:tcPr>
          <w:p w14:paraId="4D99911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6F3AFD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9DC2C8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26C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F47F6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FD9AE7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CE9D7E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998BC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6A08803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8C3ED3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B633E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4330E2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E6F93C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3A0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F5196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BD9631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9FF760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36C36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67EA0E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27B24E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4FEE183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511D12A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87765D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033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C467F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80C055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52FF50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B8B59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A0612A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138133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E7AE1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0F2176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6F6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D4C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A2D450">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2A9A5C58">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BB0E99">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D41BBF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EB4997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22BAE4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6.40 </w:t>
            </w:r>
          </w:p>
        </w:tc>
        <w:tc>
          <w:tcPr>
            <w:tcW w:w="1133" w:type="dxa"/>
            <w:tcBorders>
              <w:top w:val="nil"/>
              <w:left w:val="nil"/>
              <w:bottom w:val="single" w:color="000000" w:sz="4" w:space="0"/>
              <w:right w:val="single" w:color="000000" w:sz="4" w:space="0"/>
            </w:tcBorders>
            <w:shd w:val="clear" w:color="auto" w:fill="auto"/>
            <w:vAlign w:val="center"/>
          </w:tcPr>
          <w:p w14:paraId="6376BCB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18FB21B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0FB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557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0AED81">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CCC0EE1">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2C0E13">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18F6AA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2A03FB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FCD942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098AA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EC723D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6F0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10A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58DE03">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2C64043B">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5DF12F">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FFFBAE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184450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B2D84D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D59B2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A97CF8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EC7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4C9B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187E90">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50D83BB2">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875EC7">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104C12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B79295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F9B81E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2F19B5">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7E3EFAFF">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C70F">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auto"/>
                <w:sz w:val="22"/>
                <w:szCs w:val="22"/>
                <w:u w:val="none"/>
              </w:rPr>
            </w:pPr>
          </w:p>
        </w:tc>
      </w:tr>
      <w:tr w14:paraId="709E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4CF80D">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7FCAF012">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D4344D">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727B76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C0E030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79ABD2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1F40B6">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63C8DF22">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8D62">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auto"/>
                <w:sz w:val="22"/>
                <w:szCs w:val="22"/>
                <w:u w:val="none"/>
              </w:rPr>
            </w:pPr>
          </w:p>
        </w:tc>
      </w:tr>
      <w:tr w14:paraId="40E7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69A329">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6786F31A">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F4CA3">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B50EFE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E11843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A2FECB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2AEA0A">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1FDC1F5A">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5677">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auto"/>
                <w:sz w:val="22"/>
                <w:szCs w:val="22"/>
                <w:u w:val="none"/>
              </w:rPr>
            </w:pPr>
          </w:p>
        </w:tc>
      </w:tr>
      <w:tr w14:paraId="5EE8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9A18EF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C8FC7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191.14 </w:t>
            </w:r>
          </w:p>
        </w:tc>
        <w:tc>
          <w:tcPr>
            <w:tcW w:w="12067" w:type="dxa"/>
            <w:gridSpan w:val="5"/>
            <w:tcBorders>
              <w:top w:val="nil"/>
              <w:left w:val="nil"/>
              <w:bottom w:val="single" w:color="000000" w:sz="4" w:space="0"/>
              <w:right w:val="single" w:color="000000" w:sz="4" w:space="0"/>
            </w:tcBorders>
            <w:shd w:val="clear" w:color="auto" w:fill="auto"/>
            <w:vAlign w:val="center"/>
          </w:tcPr>
          <w:p w14:paraId="49FE36D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AA992C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28.29 </w:t>
            </w:r>
          </w:p>
        </w:tc>
      </w:tr>
    </w:tbl>
    <w:p w14:paraId="0515855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DC5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628EED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政府性基金预算财政拨款收入支出决算表</w:t>
            </w:r>
          </w:p>
        </w:tc>
      </w:tr>
      <w:tr w14:paraId="3CF2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1FCFF4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巫溪县人大宣传信息中心</w:t>
            </w:r>
          </w:p>
        </w:tc>
        <w:tc>
          <w:tcPr>
            <w:tcW w:w="1156" w:type="dxa"/>
            <w:tcBorders>
              <w:top w:val="nil"/>
              <w:left w:val="nil"/>
              <w:bottom w:val="nil"/>
              <w:right w:val="nil"/>
            </w:tcBorders>
            <w:shd w:val="clear" w:color="auto" w:fill="auto"/>
            <w:vAlign w:val="bottom"/>
          </w:tcPr>
          <w:p w14:paraId="0BE4B5F8">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r>
              <w:rPr>
                <w:rFonts w:hint="default" w:ascii="Times New Roman" w:hAnsi="Times New Roman" w:cs="Times New Roman"/>
                <w:i w:val="0"/>
                <w:iCs w:val="0"/>
                <w:color w:val="auto"/>
                <w:kern w:val="0"/>
                <w:sz w:val="20"/>
                <w:szCs w:val="20"/>
                <w:u w:val="none"/>
                <w:lang w:val="en-US" w:eastAsia="zh-CN" w:bidi="ar"/>
              </w:rPr>
              <w:t>7</w:t>
            </w:r>
            <w:r>
              <w:rPr>
                <w:rFonts w:hint="default" w:ascii="Times New Roman" w:hAnsi="Times New Roman" w:eastAsia="宋体" w:cs="Times New Roman"/>
                <w:i w:val="0"/>
                <w:iCs w:val="0"/>
                <w:color w:val="auto"/>
                <w:kern w:val="0"/>
                <w:sz w:val="20"/>
                <w:szCs w:val="20"/>
                <w:u w:val="none"/>
                <w:lang w:val="en-US" w:eastAsia="zh-CN" w:bidi="ar"/>
              </w:rPr>
              <w:t>表</w:t>
            </w:r>
          </w:p>
        </w:tc>
      </w:tr>
      <w:tr w14:paraId="1C26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E0B181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1156" w:type="dxa"/>
            <w:tcBorders>
              <w:top w:val="nil"/>
              <w:left w:val="nil"/>
              <w:bottom w:val="nil"/>
              <w:right w:val="nil"/>
            </w:tcBorders>
            <w:shd w:val="clear" w:color="auto" w:fill="auto"/>
            <w:vAlign w:val="bottom"/>
          </w:tcPr>
          <w:p w14:paraId="118D3AA8">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2506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5FCC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282845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1EA91A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8A85E1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305FBA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1B268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r>
      <w:tr w14:paraId="30B4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88BA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0BE862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7812FC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7EE7D3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75B2F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86C794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08088D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8DA28A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590AAD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7E4E38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1A220D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335D67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CE2F43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8740BB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r>
      <w:tr w14:paraId="71F6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80DD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018FD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E98E25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FC86DB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8E7EBB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9EEA58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797D0D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ACD714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B9AADE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34A5EE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31CD18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35E088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569440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1C45DD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E3E7E5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项目支出结余</w:t>
            </w:r>
          </w:p>
        </w:tc>
      </w:tr>
      <w:tr w14:paraId="5993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8065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8F283E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47F78A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D17816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D9CE83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659073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F0360E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CB6346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9E3759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56BB63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C2213B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4F64CD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ACA3FD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B16FDB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66C3B2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5DA3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43EDD9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F9E0E9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4D2D2B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4C07D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D34922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05CCF6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58F43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35161C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62B28A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C99AC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E1D805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95D5D3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5AB313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7C8A41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9923F5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8B0497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DAC238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r>
      <w:tr w14:paraId="192D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A25738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5DCA6D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C08CFA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993C26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619A4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8BF8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370E0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815D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1FAA8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5856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A46CA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15C96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F3F8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9015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D188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E228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657D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09A7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05F09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561959C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FBC5A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C2E8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EC2D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7D33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3B8C9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9912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1CCD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03DF8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D9901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D3C9D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6B19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02F8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8EC7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4346EA4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rPr>
      </w:pPr>
      <w:r>
        <w:rPr>
          <w:rFonts w:hint="default" w:ascii="Times New Roman" w:hAnsi="Times New Roman" w:cs="Times New Roman"/>
          <w:color w:val="auto"/>
          <w:sz w:val="20"/>
          <w:szCs w:val="20"/>
        </w:rPr>
        <w:t>本单位无政府性基金收支，故本表无数据。</w:t>
      </w:r>
      <w:r>
        <w:rPr>
          <w:rFonts w:hint="default" w:ascii="Times New Roman" w:hAnsi="Times New Roman" w:eastAsia="宋体" w:cs="Times New Roman"/>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768A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CE0EB4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国有资本经营预算财政拨款收入支出决算表</w:t>
            </w:r>
          </w:p>
        </w:tc>
      </w:tr>
      <w:tr w14:paraId="4502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01942F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巫溪县人大宣传信息中心</w:t>
            </w:r>
          </w:p>
        </w:tc>
        <w:tc>
          <w:tcPr>
            <w:tcW w:w="2116" w:type="dxa"/>
            <w:tcBorders>
              <w:top w:val="nil"/>
              <w:left w:val="nil"/>
              <w:bottom w:val="nil"/>
              <w:right w:val="nil"/>
            </w:tcBorders>
            <w:shd w:val="clear" w:color="auto" w:fill="auto"/>
            <w:vAlign w:val="bottom"/>
          </w:tcPr>
          <w:p w14:paraId="065E9A11">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08表</w:t>
            </w:r>
          </w:p>
        </w:tc>
      </w:tr>
      <w:tr w14:paraId="7F82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0D4CBD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2116" w:type="dxa"/>
            <w:tcBorders>
              <w:top w:val="nil"/>
              <w:left w:val="nil"/>
              <w:bottom w:val="nil"/>
              <w:right w:val="nil"/>
            </w:tcBorders>
            <w:shd w:val="clear" w:color="auto" w:fill="auto"/>
            <w:vAlign w:val="bottom"/>
          </w:tcPr>
          <w:p w14:paraId="734ECA03">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4667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A785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6925DD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230F6B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1EF0B0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526421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ABE3A8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r>
      <w:tr w14:paraId="2B9C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93F4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4973F7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3858CE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9B7582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55E7DC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B3A037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3778B2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512BA7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124A73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2EED63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结余</w:t>
            </w:r>
          </w:p>
        </w:tc>
      </w:tr>
      <w:tr w14:paraId="5705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23D8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AC8E72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BC6A7E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29CEA2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26A51C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A1C4D4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63F7F2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30365B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2CC45E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BEF4A8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5553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7C42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E0D3F6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C6D9F0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D5D59A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CB2527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726061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499807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4865C5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EEFA33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88418B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2D2A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AFE859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E5CA99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FC878D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089F90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6701C9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FA0F02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1288C7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395E594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5F051E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89B861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996884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CBBADD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r>
      <w:tr w14:paraId="39FD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C0CE5F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F3E4D6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CC0368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7510EA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244F26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4FAEF4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971B3E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ADF8D3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692775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B27810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D30899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5B9A2E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624D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4DFD07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E247D7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2B7D63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8B377F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E3B4FC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A9E6CD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5E706D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866DA6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7A9F10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1CF217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366B7CCE">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rPr>
      </w:pPr>
      <w:r>
        <w:rPr>
          <w:rFonts w:hint="default" w:ascii="Times New Roman" w:hAnsi="Times New Roman" w:cs="Times New Roman"/>
          <w:color w:val="auto"/>
          <w:sz w:val="20"/>
          <w:szCs w:val="20"/>
        </w:rPr>
        <w:t>本单位</w:t>
      </w:r>
      <w:r>
        <w:rPr>
          <w:rFonts w:hint="default" w:ascii="Times New Roman" w:hAnsi="Times New Roman" w:cs="Times New Roman"/>
          <w:color w:val="auto"/>
          <w:sz w:val="20"/>
          <w:szCs w:val="20"/>
          <w:lang w:val="en-US" w:eastAsia="zh-CN"/>
        </w:rPr>
        <w:t>无国有资本经营</w:t>
      </w:r>
      <w:r>
        <w:rPr>
          <w:rFonts w:hint="default" w:ascii="Times New Roman" w:hAnsi="Times New Roman" w:cs="Times New Roman"/>
          <w:color w:val="auto"/>
          <w:sz w:val="20"/>
          <w:szCs w:val="20"/>
        </w:rPr>
        <w:t>收支，故本表无数据。</w:t>
      </w:r>
      <w:r>
        <w:rPr>
          <w:rFonts w:hint="default" w:ascii="Times New Roman" w:hAnsi="Times New Roman" w:eastAsia="宋体" w:cs="Times New Roman"/>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5EC1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210723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44"/>
                <w:szCs w:val="44"/>
                <w:u w:val="none"/>
              </w:rPr>
            </w:pPr>
            <w:r>
              <w:rPr>
                <w:rFonts w:hint="default" w:ascii="Times New Roman" w:hAnsi="Times New Roman" w:eastAsia="宋体" w:cs="Times New Roman"/>
                <w:b/>
                <w:bCs/>
                <w:i w:val="0"/>
                <w:iCs w:val="0"/>
                <w:color w:val="auto"/>
                <w:kern w:val="0"/>
                <w:sz w:val="30"/>
                <w:szCs w:val="30"/>
                <w:u w:val="none"/>
                <w:lang w:val="en-US" w:eastAsia="zh-CN" w:bidi="ar"/>
              </w:rPr>
              <w:t>机构运行信息决算表</w:t>
            </w:r>
          </w:p>
        </w:tc>
      </w:tr>
      <w:tr w14:paraId="3F75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B7D9C5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巫溪县人大宣传信息中心</w:t>
            </w:r>
          </w:p>
        </w:tc>
        <w:tc>
          <w:tcPr>
            <w:tcW w:w="4284" w:type="dxa"/>
            <w:tcBorders>
              <w:top w:val="nil"/>
              <w:left w:val="nil"/>
              <w:bottom w:val="nil"/>
              <w:right w:val="nil"/>
            </w:tcBorders>
            <w:shd w:val="clear" w:color="auto" w:fill="auto"/>
            <w:vAlign w:val="bottom"/>
          </w:tcPr>
          <w:p w14:paraId="5D323990">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09表</w:t>
            </w:r>
          </w:p>
        </w:tc>
      </w:tr>
      <w:tr w14:paraId="10D8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2B46C4F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4284" w:type="dxa"/>
            <w:tcBorders>
              <w:top w:val="nil"/>
              <w:left w:val="nil"/>
              <w:bottom w:val="nil"/>
              <w:right w:val="nil"/>
            </w:tcBorders>
            <w:shd w:val="clear" w:color="auto" w:fill="auto"/>
            <w:vAlign w:val="bottom"/>
          </w:tcPr>
          <w:p w14:paraId="33F28D66">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3879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430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4BD97F9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AB6D98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84F124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19943D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50A0D9A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r>
      <w:tr w14:paraId="6242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9CF64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23CD7D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A22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DADBE2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36299FB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F57F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E88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2F26F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061AB2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0E4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F40BC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444BE0F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30F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C0C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88330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42F6C1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4EF7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EC5343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883A39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CFF9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EAB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908D6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66A1B6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038C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AD285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713307D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802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46AF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5131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0644A9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3FC1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51C792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2E788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443B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4BE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68EAC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69FACB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CEAE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0E0EBE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6DBF361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C5B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5C0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4E8099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4C3A9FB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D78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1004D7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5CDEA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643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7C3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C6BA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2379989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EE68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EAEB72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09E7E7A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752E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917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45521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57EFDB6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0BA82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0F4206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7D8E9C9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A6E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8EB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151106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3BDB7B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532F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45546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6596B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BE11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8E6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1ABF3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3C22D9C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5ED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F4B83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258C46E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97EA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99E0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44102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4F7BAF6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BF6A9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B331B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005678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F83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3B6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0A62B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34C9B9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5E8B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7B89B8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3D703F7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DE38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718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A1775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D9D72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12B6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544DE7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9FF01E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5E7C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FE4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A5909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60C2521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6FCC4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55EB0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0B6F128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2EE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7C12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28F91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6F3FD4C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85203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1DDA3F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3329DD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CEC3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55E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D9FF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38711D8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F353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20CF2C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82736A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9D70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11D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6C7A6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2E5AB6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9D831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7887F9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0E1012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D7C4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335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D3610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7BEF2B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72647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65BF17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4E7617B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901E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96C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FA3FA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B69BB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3B0B2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006303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556A3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092C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64C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DE60A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0F9F85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63C0C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28811F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1714862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1E6D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06E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360504C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775321B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63D6383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1470A6D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14:paraId="3149B55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7B0933">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Times New Roman"/>
                <w:i w:val="0"/>
                <w:iCs w:val="0"/>
                <w:color w:val="auto"/>
                <w:sz w:val="20"/>
                <w:szCs w:val="20"/>
                <w:u w:val="none"/>
              </w:rPr>
            </w:pPr>
          </w:p>
        </w:tc>
      </w:tr>
      <w:tr w14:paraId="54A3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4F44D7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D26555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83FD0D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E570F1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5B379F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2E36ACE">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Times New Roman"/>
                <w:i w:val="0"/>
                <w:iCs w:val="0"/>
                <w:color w:val="auto"/>
                <w:sz w:val="20"/>
                <w:szCs w:val="20"/>
                <w:u w:val="none"/>
              </w:rPr>
            </w:pPr>
          </w:p>
        </w:tc>
      </w:tr>
      <w:tr w14:paraId="3CE5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7EA007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color w:val="auto"/>
                <w:kern w:val="2"/>
                <w:sz w:val="22"/>
                <w:szCs w:val="22"/>
                <w:u w:val="none"/>
                <w:lang w:val="en-US" w:eastAsia="zh-CN" w:bidi="ar-SA"/>
              </w:rPr>
            </w:pPr>
            <w:r>
              <w:rPr>
                <w:rFonts w:hint="default" w:ascii="Times New Roman" w:hAnsi="Times New Roman" w:eastAsia="宋体" w:cs="Times New Roman"/>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4E907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color w:val="auto"/>
                <w:kern w:val="2"/>
                <w:sz w:val="22"/>
                <w:szCs w:val="22"/>
                <w:u w:val="none"/>
                <w:lang w:val="en-US" w:eastAsia="zh-CN" w:bidi="ar-SA"/>
              </w:rPr>
            </w:pPr>
            <w:r>
              <w:rPr>
                <w:rFonts w:hint="default" w:ascii="Times New Roman" w:hAnsi="Times New Roman" w:eastAsia="宋体" w:cs="Times New Roman"/>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B02E44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3.39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8AE7325">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8526D8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220844A">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Times New Roman"/>
                <w:i w:val="0"/>
                <w:iCs w:val="0"/>
                <w:color w:val="auto"/>
                <w:sz w:val="20"/>
                <w:szCs w:val="20"/>
                <w:u w:val="none"/>
              </w:rPr>
            </w:pPr>
          </w:p>
        </w:tc>
      </w:tr>
    </w:tbl>
    <w:p w14:paraId="4C6DA9C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37B50FE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08CC3B1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0CBC579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471DFCC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6A60C1C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39BD4B0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7EF1DBE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43A301A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08DE2D2A">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0" w:firstLineChars="0"/>
        <w:rPr>
          <w:rFonts w:hint="default" w:ascii="Times New Roman" w:hAnsi="Times New Roman" w:eastAsia="宋体" w:cs="Times New Roman"/>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ECB14">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76AF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D76AF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FCAD">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0207F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80207F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D9FBEE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D9FBEEE">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292DD">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B9D6E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CB9D6E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13072A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13072A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00D70">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9B6B1">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584E49"/>
    <w:rsid w:val="01F3521E"/>
    <w:rsid w:val="031A5719"/>
    <w:rsid w:val="03E3214F"/>
    <w:rsid w:val="04446191"/>
    <w:rsid w:val="044C50BA"/>
    <w:rsid w:val="06A2550B"/>
    <w:rsid w:val="06CE258E"/>
    <w:rsid w:val="06F80EE2"/>
    <w:rsid w:val="07001CCA"/>
    <w:rsid w:val="075678DB"/>
    <w:rsid w:val="0776344D"/>
    <w:rsid w:val="08051BCA"/>
    <w:rsid w:val="08887FC5"/>
    <w:rsid w:val="08BA052C"/>
    <w:rsid w:val="08DB07BA"/>
    <w:rsid w:val="098305D0"/>
    <w:rsid w:val="09B72B6E"/>
    <w:rsid w:val="0A3851D8"/>
    <w:rsid w:val="0A5C4B69"/>
    <w:rsid w:val="0AEC3BC7"/>
    <w:rsid w:val="0B9335CE"/>
    <w:rsid w:val="0C7927C4"/>
    <w:rsid w:val="0C9B098C"/>
    <w:rsid w:val="0D11728C"/>
    <w:rsid w:val="0D1A640B"/>
    <w:rsid w:val="0D673E11"/>
    <w:rsid w:val="0DB50EFE"/>
    <w:rsid w:val="0DDA54E4"/>
    <w:rsid w:val="0E3A5F83"/>
    <w:rsid w:val="0F355602"/>
    <w:rsid w:val="0F692A87"/>
    <w:rsid w:val="0F836721"/>
    <w:rsid w:val="103645A3"/>
    <w:rsid w:val="107B59E5"/>
    <w:rsid w:val="10B7591C"/>
    <w:rsid w:val="11003CB0"/>
    <w:rsid w:val="111445C7"/>
    <w:rsid w:val="1158083A"/>
    <w:rsid w:val="11F03528"/>
    <w:rsid w:val="12C921C4"/>
    <w:rsid w:val="13632C7E"/>
    <w:rsid w:val="13850DCB"/>
    <w:rsid w:val="13871C70"/>
    <w:rsid w:val="13A71CB4"/>
    <w:rsid w:val="13AF1D43"/>
    <w:rsid w:val="13C643C6"/>
    <w:rsid w:val="13CE1647"/>
    <w:rsid w:val="141A11EA"/>
    <w:rsid w:val="14200702"/>
    <w:rsid w:val="148E377E"/>
    <w:rsid w:val="1580711B"/>
    <w:rsid w:val="189B0D0B"/>
    <w:rsid w:val="194A1770"/>
    <w:rsid w:val="198E4346"/>
    <w:rsid w:val="19917D9C"/>
    <w:rsid w:val="19B906A4"/>
    <w:rsid w:val="1A1F744B"/>
    <w:rsid w:val="1A4854EC"/>
    <w:rsid w:val="1B076F50"/>
    <w:rsid w:val="1B6F15B6"/>
    <w:rsid w:val="1BAA2EDC"/>
    <w:rsid w:val="1C8E3403"/>
    <w:rsid w:val="1CE157EE"/>
    <w:rsid w:val="1D014A01"/>
    <w:rsid w:val="1D022362"/>
    <w:rsid w:val="1D0F74FE"/>
    <w:rsid w:val="1D2A56E8"/>
    <w:rsid w:val="1DD26311"/>
    <w:rsid w:val="1EF67CA4"/>
    <w:rsid w:val="1F792DAF"/>
    <w:rsid w:val="1FCD26AF"/>
    <w:rsid w:val="20642787"/>
    <w:rsid w:val="21556F04"/>
    <w:rsid w:val="22403BD3"/>
    <w:rsid w:val="24B92327"/>
    <w:rsid w:val="2533755C"/>
    <w:rsid w:val="26396DF4"/>
    <w:rsid w:val="270642A6"/>
    <w:rsid w:val="27167136"/>
    <w:rsid w:val="27B23302"/>
    <w:rsid w:val="27BF157B"/>
    <w:rsid w:val="28767B41"/>
    <w:rsid w:val="29310A5F"/>
    <w:rsid w:val="293428D9"/>
    <w:rsid w:val="299947CC"/>
    <w:rsid w:val="29C37A35"/>
    <w:rsid w:val="29C95E09"/>
    <w:rsid w:val="2A076083"/>
    <w:rsid w:val="2A73162E"/>
    <w:rsid w:val="2AC50699"/>
    <w:rsid w:val="2B167953"/>
    <w:rsid w:val="2B200583"/>
    <w:rsid w:val="2B8209DE"/>
    <w:rsid w:val="2C161D32"/>
    <w:rsid w:val="2C2D3EC7"/>
    <w:rsid w:val="2C6762A3"/>
    <w:rsid w:val="2D8D2A49"/>
    <w:rsid w:val="2FA14FB2"/>
    <w:rsid w:val="2FB512CC"/>
    <w:rsid w:val="2FE029D7"/>
    <w:rsid w:val="2FF06E00"/>
    <w:rsid w:val="315D199F"/>
    <w:rsid w:val="315F0B22"/>
    <w:rsid w:val="31D84415"/>
    <w:rsid w:val="32285F6F"/>
    <w:rsid w:val="3256492B"/>
    <w:rsid w:val="32770556"/>
    <w:rsid w:val="329C0913"/>
    <w:rsid w:val="3337290D"/>
    <w:rsid w:val="34DF6659"/>
    <w:rsid w:val="352930DB"/>
    <w:rsid w:val="352A0E05"/>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2853D1"/>
    <w:rsid w:val="407948F0"/>
    <w:rsid w:val="40AA056E"/>
    <w:rsid w:val="40FD5440"/>
    <w:rsid w:val="411B6CE5"/>
    <w:rsid w:val="412070D7"/>
    <w:rsid w:val="41314E40"/>
    <w:rsid w:val="4142353C"/>
    <w:rsid w:val="415C674B"/>
    <w:rsid w:val="42270105"/>
    <w:rsid w:val="426C1EA8"/>
    <w:rsid w:val="42E86A87"/>
    <w:rsid w:val="43136432"/>
    <w:rsid w:val="43455072"/>
    <w:rsid w:val="43770A38"/>
    <w:rsid w:val="443A3B12"/>
    <w:rsid w:val="44A854C2"/>
    <w:rsid w:val="44DD597D"/>
    <w:rsid w:val="450737B0"/>
    <w:rsid w:val="465B470D"/>
    <w:rsid w:val="469D6AD4"/>
    <w:rsid w:val="47674801"/>
    <w:rsid w:val="48225EF7"/>
    <w:rsid w:val="48227BA4"/>
    <w:rsid w:val="495C4A24"/>
    <w:rsid w:val="4AD70EE7"/>
    <w:rsid w:val="4B7951CB"/>
    <w:rsid w:val="4B7C315C"/>
    <w:rsid w:val="4BAB7F90"/>
    <w:rsid w:val="4CD82C22"/>
    <w:rsid w:val="4DAC4ACA"/>
    <w:rsid w:val="4F186D58"/>
    <w:rsid w:val="50EC262C"/>
    <w:rsid w:val="522F6E0C"/>
    <w:rsid w:val="52463BA1"/>
    <w:rsid w:val="532272D6"/>
    <w:rsid w:val="53C0244D"/>
    <w:rsid w:val="53DD4D4E"/>
    <w:rsid w:val="53E578CE"/>
    <w:rsid w:val="543B029D"/>
    <w:rsid w:val="545D0246"/>
    <w:rsid w:val="54701694"/>
    <w:rsid w:val="554E5773"/>
    <w:rsid w:val="555A3CBC"/>
    <w:rsid w:val="56530F5D"/>
    <w:rsid w:val="5842572D"/>
    <w:rsid w:val="5A007FC9"/>
    <w:rsid w:val="5AE75037"/>
    <w:rsid w:val="5B58571C"/>
    <w:rsid w:val="5B8376C2"/>
    <w:rsid w:val="5B96133A"/>
    <w:rsid w:val="5C1336B7"/>
    <w:rsid w:val="5C263CE4"/>
    <w:rsid w:val="5C5D2777"/>
    <w:rsid w:val="5D290C69"/>
    <w:rsid w:val="5D454EAD"/>
    <w:rsid w:val="5D537F41"/>
    <w:rsid w:val="5D906660"/>
    <w:rsid w:val="5EFA176D"/>
    <w:rsid w:val="5F0247F9"/>
    <w:rsid w:val="5F2D4A41"/>
    <w:rsid w:val="5F677B34"/>
    <w:rsid w:val="5FB6469F"/>
    <w:rsid w:val="601C34ED"/>
    <w:rsid w:val="60A958A9"/>
    <w:rsid w:val="60BC5AC0"/>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025468"/>
    <w:rsid w:val="66267C04"/>
    <w:rsid w:val="663F505A"/>
    <w:rsid w:val="665C1999"/>
    <w:rsid w:val="667F2393"/>
    <w:rsid w:val="66EE5541"/>
    <w:rsid w:val="692172FD"/>
    <w:rsid w:val="6A3829EE"/>
    <w:rsid w:val="6AC972F4"/>
    <w:rsid w:val="6ADE0BE1"/>
    <w:rsid w:val="6B474EF5"/>
    <w:rsid w:val="6B5862AA"/>
    <w:rsid w:val="6C560CAE"/>
    <w:rsid w:val="6D0615E4"/>
    <w:rsid w:val="6D903FF5"/>
    <w:rsid w:val="6DA955B8"/>
    <w:rsid w:val="6DE346AB"/>
    <w:rsid w:val="6EAE36E0"/>
    <w:rsid w:val="6F7F6A2D"/>
    <w:rsid w:val="6FB442D1"/>
    <w:rsid w:val="6FFB2E76"/>
    <w:rsid w:val="71C34D91"/>
    <w:rsid w:val="71ED38AA"/>
    <w:rsid w:val="720229AA"/>
    <w:rsid w:val="72DB435C"/>
    <w:rsid w:val="750837F0"/>
    <w:rsid w:val="756330DE"/>
    <w:rsid w:val="758047E5"/>
    <w:rsid w:val="75AA3D09"/>
    <w:rsid w:val="764F62AB"/>
    <w:rsid w:val="765C45EC"/>
    <w:rsid w:val="765D2F38"/>
    <w:rsid w:val="768A7619"/>
    <w:rsid w:val="76E14979"/>
    <w:rsid w:val="77DA7273"/>
    <w:rsid w:val="77EA362A"/>
    <w:rsid w:val="7875383E"/>
    <w:rsid w:val="796D60A4"/>
    <w:rsid w:val="79A031D5"/>
    <w:rsid w:val="7A1525F7"/>
    <w:rsid w:val="7A3E6CB6"/>
    <w:rsid w:val="7A680D2D"/>
    <w:rsid w:val="7B260559"/>
    <w:rsid w:val="7B420052"/>
    <w:rsid w:val="7BD06A28"/>
    <w:rsid w:val="7C1E4CD7"/>
    <w:rsid w:val="7C3A7C0B"/>
    <w:rsid w:val="7C5248E4"/>
    <w:rsid w:val="7C566698"/>
    <w:rsid w:val="7D0B5E36"/>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5475</Words>
  <Characters>6486</Characters>
  <Lines>161</Lines>
  <Paragraphs>45</Paragraphs>
  <TotalTime>59</TotalTime>
  <ScaleCrop>false</ScaleCrop>
  <LinksUpToDate>false</LinksUpToDate>
  <CharactersWithSpaces>6654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2025-11-21T06:23:23Z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eyJoZGlkIjoiZDRlMTI0ZmZkNWVkNDk2ZTg4NWYwOTQyMjQxMmY4NGEiLCJ1c2VySWQiOiIxMzIzODcwMDMzIn0=</vt:lpwstr>
  </property>
</Properties>
</file>