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ascii="Times New Roman" w:hAnsi="Times New Roman" w:eastAsia="方正小标宋_GBK" w:cs="方正小标宋_GBK"/>
          <w:sz w:val="44"/>
          <w:szCs w:val="44"/>
        </w:rPr>
      </w:pPr>
      <w:bookmarkStart w:id="0" w:name="_GoBack"/>
      <w:bookmarkEnd w:id="0"/>
    </w:p>
    <w:p>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中共巫溪县委调研信息中心</w:t>
      </w:r>
    </w:p>
    <w:p>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textAlignment w:val="auto"/>
        <w:rPr>
          <w:rFonts w:hint="default" w:ascii="Times New Roman" w:hAnsi="Times New Roman"/>
          <w:sz w:val="27"/>
          <w:szCs w:val="27"/>
          <w:shd w:val="clear" w:color="auto" w:fill="FFFF00"/>
        </w:rPr>
      </w:pP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一、单位基本情况</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rPr>
        <w:t>（一）职能职责</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委调研信息中心主要职能职责：负责为县委提供宏观决策依据；根据全县经济社会发展战略和县委工作部署，围绕县委中心工作开展调查研究，收集和综合处理信息，提出对策建议；拟定重大政策性文件，调研了解落实情况，及时向县委反馈信息，总结推广典型经验和做法。</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（二）机构设置</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中共巫溪县委调研信息中心是中共巫溪县委办公室下设事业单位，为一级预算单位，人员、项目、公用等经费2024年度开始独立核算。</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二、单位决算收支情况说明</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（一）收入支出决算总体情况说明。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b/>
          <w:bCs/>
          <w:sz w:val="32"/>
          <w:szCs w:val="32"/>
          <w:lang w:val="en-US" w:eastAsia="zh-CN" w:bidi="ar-SA"/>
        </w:rPr>
        <w:t>1.总体情况</w:t>
      </w:r>
      <w:r>
        <w:rPr>
          <w:rFonts w:hint="eastAsia" w:ascii="Times New Roman" w:hAnsi="Times New Roman" w:eastAsia="方正仿宋_GBK" w:cs="方正仿宋_GBK"/>
          <w:sz w:val="32"/>
          <w:szCs w:val="32"/>
          <w:lang w:val="en-US" w:eastAsia="zh-CN" w:bidi="ar-SA"/>
        </w:rPr>
        <w:t>。2024年度收入总计291.54万元，支出总计291.54万元。收、支与2023年度相比，增加291.54万元，增长100.0%，主要原因是2024年度开始独立核算，上年度无收入支出。</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度收入合计291.54万元，与2023年度相比，增加291.54万元，增长100.0%，主要原因是</w:t>
      </w:r>
      <w:r>
        <w:rPr>
          <w:rFonts w:hint="eastAsia" w:ascii="Times New Roman" w:hAnsi="Times New Roman" w:eastAsia="方正仿宋_GBK" w:cs="方正仿宋_GBK"/>
          <w:kern w:val="2"/>
          <w:sz w:val="32"/>
          <w:szCs w:val="32"/>
          <w:lang w:val="en-US" w:eastAsia="zh-CN" w:bidi="ar-SA"/>
        </w:rPr>
        <w:t>2024年度开始独立核算，上年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收入</w:t>
      </w:r>
      <w:r>
        <w:rPr>
          <w:rFonts w:hint="eastAsia" w:ascii="Times New Roman" w:hAnsi="Times New Roman" w:eastAsia="方正仿宋_GBK" w:cs="方正仿宋_GBK"/>
          <w:kern w:val="2"/>
          <w:sz w:val="32"/>
          <w:szCs w:val="32"/>
          <w:lang w:val="en-US" w:eastAsia="zh-CN" w:bidi="ar-SA"/>
        </w:rPr>
        <w:t>。</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291.54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291.54</w:t>
      </w:r>
      <w:r>
        <w:rPr>
          <w:rFonts w:ascii="Times New Roman" w:hAnsi="Times New Roman" w:eastAsia="方正仿宋_GBK" w:cs="方正仿宋_GBK"/>
          <w:sz w:val="32"/>
          <w:szCs w:val="32"/>
          <w:shd w:val="clear" w:color="auto" w:fill="FFFFFF"/>
        </w:rPr>
        <w:t>万元，与2023年度相比，增加291.54万元，增长100.0%，主要原因是</w:t>
      </w:r>
      <w:r>
        <w:rPr>
          <w:rFonts w:hint="eastAsia" w:ascii="Times New Roman" w:hAnsi="Times New Roman" w:eastAsia="方正仿宋_GBK" w:cs="方正仿宋_GBK"/>
          <w:kern w:val="2"/>
          <w:sz w:val="32"/>
          <w:szCs w:val="32"/>
          <w:lang w:val="en-US" w:eastAsia="zh-CN" w:bidi="ar-SA"/>
        </w:rPr>
        <w:t>2024年度开始独立核算，上年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支出</w:t>
      </w:r>
      <w:r>
        <w:rPr>
          <w:rFonts w:hint="eastAsia" w:ascii="Times New Roman" w:hAnsi="Times New Roman" w:eastAsia="方正仿宋_GBK" w:cs="方正仿宋_GBK"/>
          <w:kern w:val="2"/>
          <w:sz w:val="32"/>
          <w:szCs w:val="32"/>
          <w:lang w:val="en-US" w:eastAsia="zh-CN" w:bidi="ar-SA"/>
        </w:rPr>
        <w:t>。</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273.98</w:t>
      </w:r>
      <w:r>
        <w:rPr>
          <w:rFonts w:ascii="Times New Roman" w:hAnsi="Times New Roman" w:eastAsia="方正仿宋_GBK" w:cs="方正仿宋_GBK"/>
          <w:sz w:val="32"/>
          <w:szCs w:val="32"/>
          <w:shd w:val="clear" w:color="auto" w:fill="FFFFFF"/>
        </w:rPr>
        <w:t>万元，占93.98%；项目支出</w:t>
      </w:r>
      <w:r>
        <w:rPr>
          <w:rFonts w:ascii="Times New Roman" w:hAnsi="Times New Roman" w:eastAsia="方正仿宋_GBK" w:cs="方正仿宋_GBK"/>
          <w:sz w:val="32"/>
          <w:szCs w:val="32"/>
        </w:rPr>
        <w:t>17.56</w:t>
      </w:r>
      <w:r>
        <w:rPr>
          <w:rFonts w:ascii="Times New Roman" w:hAnsi="Times New Roman" w:eastAsia="方正仿宋_GBK" w:cs="方正仿宋_GBK"/>
          <w:sz w:val="32"/>
          <w:szCs w:val="32"/>
          <w:shd w:val="clear" w:color="auto" w:fill="FFFFFF"/>
        </w:rPr>
        <w:t>万元，占6.02%；经营支出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kern w:val="2"/>
          <w:sz w:val="32"/>
          <w:szCs w:val="32"/>
          <w:lang w:val="en-US" w:eastAsia="zh-CN" w:bidi="ar-SA"/>
        </w:rPr>
        <w:t>2024年度开始独立核算，财政预算零结余。</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（二）财政拨款收入支出决算总体情况说明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度财政拨款收、支总计291.54万元。与202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年相比，财政拨款收、支总计各增加291.54万元，增长100.0%。主要原因是</w:t>
      </w:r>
      <w:r>
        <w:rPr>
          <w:rFonts w:hint="eastAsia" w:ascii="Times New Roman" w:hAnsi="Times New Roman" w:eastAsia="方正仿宋_GBK" w:cs="方正仿宋_GBK"/>
          <w:kern w:val="2"/>
          <w:sz w:val="32"/>
          <w:szCs w:val="32"/>
          <w:lang w:val="en-US" w:eastAsia="zh-CN" w:bidi="ar-SA"/>
        </w:rPr>
        <w:t>2024年度开始独立核算，上年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收入支出</w:t>
      </w:r>
      <w:r>
        <w:rPr>
          <w:rFonts w:hint="eastAsia" w:ascii="Times New Roman" w:hAnsi="Times New Roman" w:eastAsia="方正仿宋_GBK" w:cs="方正仿宋_GBK"/>
          <w:kern w:val="2"/>
          <w:sz w:val="32"/>
          <w:szCs w:val="32"/>
          <w:lang w:val="en-US" w:eastAsia="zh-CN" w:bidi="ar-SA"/>
        </w:rPr>
        <w:t>。</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291.54</w:t>
      </w:r>
      <w:r>
        <w:rPr>
          <w:rFonts w:ascii="Times New Roman" w:hAnsi="Times New Roman" w:eastAsia="方正仿宋_GBK" w:cs="方正仿宋_GBK"/>
          <w:sz w:val="32"/>
          <w:szCs w:val="32"/>
          <w:shd w:val="clear" w:color="auto" w:fill="FFFFFF"/>
        </w:rPr>
        <w:t>万元，与2023年度相比，增加291.54万元，增长100.0%。主要原因是</w:t>
      </w:r>
      <w:r>
        <w:rPr>
          <w:rFonts w:hint="eastAsia" w:ascii="Times New Roman" w:hAnsi="Times New Roman" w:eastAsia="方正仿宋_GBK" w:cs="方正仿宋_GBK"/>
          <w:kern w:val="2"/>
          <w:sz w:val="32"/>
          <w:szCs w:val="32"/>
          <w:lang w:val="en-US" w:eastAsia="zh-CN" w:bidi="ar-SA"/>
        </w:rPr>
        <w:t>2024年度开始独立核算，上年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收入</w:t>
      </w:r>
      <w:r>
        <w:rPr>
          <w:rFonts w:hint="eastAsia" w:ascii="Times New Roman" w:hAnsi="Times New Roman" w:eastAsia="方正仿宋_GBK" w:cs="方正仿宋_GBK"/>
          <w:kern w:val="2"/>
          <w:sz w:val="32"/>
          <w:szCs w:val="32"/>
          <w:lang w:val="en-US" w:eastAsia="zh-CN" w:bidi="ar-SA"/>
        </w:rPr>
        <w:t>。</w:t>
      </w:r>
      <w:r>
        <w:rPr>
          <w:rFonts w:ascii="Times New Roman" w:hAnsi="Times New Roman" w:eastAsia="方正仿宋_GBK" w:cs="方正仿宋_GBK"/>
          <w:sz w:val="32"/>
          <w:szCs w:val="32"/>
          <w:shd w:val="clear" w:color="auto" w:fill="FFFFFF"/>
        </w:rPr>
        <w:t>较年初预算数减少4.85万元，下降1.6%。主要原因是</w:t>
      </w:r>
      <w:r>
        <w:rPr>
          <w:rFonts w:hint="eastAsia" w:ascii="Times New Roman" w:hAnsi="Times New Roman" w:eastAsia="方正仿宋_GBK" w:cs="方正仿宋_GBK"/>
          <w:sz w:val="32"/>
          <w:szCs w:val="32"/>
          <w:shd w:val="clear" w:color="auto" w:fill="FFFFFF"/>
          <w:lang w:val="en-US" w:eastAsia="zh-CN"/>
        </w:rPr>
        <w:t>项目</w:t>
      </w:r>
      <w:r>
        <w:rPr>
          <w:rFonts w:hint="eastAsia" w:ascii="Times New Roman" w:hAnsi="Times New Roman" w:eastAsia="方正仿宋_GBK" w:cs="方正仿宋_GBK"/>
          <w:color w:val="auto"/>
          <w:sz w:val="32"/>
          <w:szCs w:val="32"/>
          <w:lang w:val="en-US" w:eastAsia="zh-CN"/>
        </w:rPr>
        <w:t>资金未使用完，县财政局回收指标。</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291.54</w:t>
      </w:r>
      <w:r>
        <w:rPr>
          <w:rFonts w:ascii="Times New Roman" w:hAnsi="Times New Roman" w:eastAsia="方正仿宋_GBK" w:cs="方正仿宋_GBK"/>
          <w:sz w:val="32"/>
          <w:szCs w:val="32"/>
          <w:shd w:val="clear" w:color="auto" w:fill="FFFFFF"/>
        </w:rPr>
        <w:t>万元，与2023年度相比，增加291.54万元，增长100.0%。</w:t>
      </w:r>
      <w:r>
        <w:rPr>
          <w:rFonts w:hint="eastAsia" w:ascii="Times New Roman" w:hAnsi="Times New Roman" w:eastAsia="方正仿宋_GBK" w:cs="方正仿宋_GBK"/>
          <w:kern w:val="2"/>
          <w:sz w:val="32"/>
          <w:szCs w:val="32"/>
          <w:lang w:val="en-US" w:eastAsia="zh-CN" w:bidi="ar-SA"/>
        </w:rPr>
        <w:t>2024年度开始独立核算，上年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支出</w:t>
      </w:r>
      <w:r>
        <w:rPr>
          <w:rFonts w:hint="eastAsia" w:ascii="Times New Roman" w:hAnsi="Times New Roman" w:eastAsia="方正仿宋_GBK" w:cs="方正仿宋_GBK"/>
          <w:kern w:val="2"/>
          <w:sz w:val="32"/>
          <w:szCs w:val="32"/>
          <w:lang w:val="en-US" w:eastAsia="zh-CN" w:bidi="ar-SA"/>
        </w:rPr>
        <w:t>。</w:t>
      </w:r>
      <w:r>
        <w:rPr>
          <w:rFonts w:ascii="Times New Roman" w:hAnsi="Times New Roman" w:eastAsia="方正仿宋_GBK" w:cs="方正仿宋_GBK"/>
          <w:sz w:val="32"/>
          <w:szCs w:val="32"/>
          <w:shd w:val="clear" w:color="auto" w:fill="FFFFFF"/>
        </w:rPr>
        <w:t>较年初预算数减少4.85万元，下降1.6%。主要原因是</w:t>
      </w:r>
      <w:r>
        <w:rPr>
          <w:rFonts w:hint="eastAsia" w:ascii="Times New Roman" w:hAnsi="Times New Roman" w:eastAsia="方正仿宋_GBK" w:cs="方正仿宋_GBK"/>
          <w:sz w:val="32"/>
          <w:szCs w:val="32"/>
          <w:shd w:val="clear" w:color="auto" w:fill="FFFFFF"/>
          <w:lang w:val="en-US" w:eastAsia="zh-CN"/>
        </w:rPr>
        <w:t>项目</w:t>
      </w:r>
      <w:r>
        <w:rPr>
          <w:rFonts w:hint="eastAsia" w:ascii="Times New Roman" w:hAnsi="Times New Roman" w:eastAsia="方正仿宋_GBK" w:cs="方正仿宋_GBK"/>
          <w:color w:val="auto"/>
          <w:sz w:val="32"/>
          <w:szCs w:val="32"/>
          <w:lang w:val="en-US" w:eastAsia="zh-CN"/>
        </w:rPr>
        <w:t>资金未使用完，县财政局回收指标。</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kern w:val="2"/>
          <w:sz w:val="32"/>
          <w:szCs w:val="32"/>
          <w:lang w:val="en-US" w:eastAsia="zh-CN" w:bidi="ar-SA"/>
        </w:rPr>
        <w:t>2024年度开始独立核算，财政预算零结余。</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（1）一般公共服务支出</w:t>
      </w:r>
      <w:r>
        <w:rPr>
          <w:rFonts w:ascii="Times New Roman" w:hAnsi="Times New Roman" w:eastAsia="方正仿宋_GBK" w:cs="方正仿宋_GBK"/>
          <w:sz w:val="32"/>
          <w:szCs w:val="32"/>
        </w:rPr>
        <w:t>229.61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78.75</w:t>
      </w:r>
      <w:r>
        <w:rPr>
          <w:rFonts w:ascii="Times New Roman" w:hAnsi="Times New Roman" w:eastAsia="方正仿宋_GBK" w:cs="方正仿宋_GBK"/>
          <w:sz w:val="32"/>
          <w:szCs w:val="32"/>
          <w:shd w:val="clear" w:color="auto" w:fill="FFFFFF"/>
        </w:rPr>
        <w:t>%，较年初预算数减少16.16万元，下降6.6%，主要原因是</w:t>
      </w:r>
      <w:r>
        <w:rPr>
          <w:rFonts w:hint="eastAsia" w:ascii="Times New Roman" w:hAnsi="Times New Roman" w:eastAsia="方正仿宋_GBK" w:cs="方正仿宋_GBK"/>
          <w:sz w:val="32"/>
          <w:szCs w:val="32"/>
          <w:shd w:val="clear" w:color="auto" w:fill="FFFFFF"/>
          <w:lang w:val="en-US" w:eastAsia="zh-CN"/>
        </w:rPr>
        <w:t>项目</w:t>
      </w:r>
      <w:r>
        <w:rPr>
          <w:rFonts w:hint="eastAsia" w:ascii="Times New Roman" w:hAnsi="Times New Roman" w:eastAsia="方正仿宋_GBK" w:cs="方正仿宋_GBK"/>
          <w:color w:val="auto"/>
          <w:sz w:val="32"/>
          <w:szCs w:val="32"/>
          <w:lang w:val="en-US" w:eastAsia="zh-CN"/>
        </w:rPr>
        <w:t>资金未使用完，指标回收。</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38.28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13.13</w:t>
      </w:r>
      <w:r>
        <w:rPr>
          <w:rFonts w:ascii="Times New Roman" w:hAnsi="Times New Roman" w:eastAsia="方正仿宋_GBK" w:cs="方正仿宋_GBK"/>
          <w:sz w:val="32"/>
          <w:szCs w:val="32"/>
          <w:shd w:val="clear" w:color="auto" w:fill="FFFFFF"/>
        </w:rPr>
        <w:t>%，较年初预算数增加11.87万元，增长45.0%，主要原因是</w:t>
      </w:r>
      <w:r>
        <w:rPr>
          <w:rFonts w:hint="eastAsia" w:ascii="Times New Roman" w:hAnsi="Times New Roman" w:eastAsia="方正仿宋_GBK" w:cs="方正仿宋_GBK"/>
          <w:sz w:val="32"/>
          <w:szCs w:val="32"/>
          <w:shd w:val="clear" w:color="auto" w:fill="FFFFFF"/>
          <w:lang w:val="en-US" w:eastAsia="zh-CN"/>
        </w:rPr>
        <w:t>社保基数上调。</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10.45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3.59</w:t>
      </w:r>
      <w:r>
        <w:rPr>
          <w:rFonts w:ascii="Times New Roman" w:hAnsi="Times New Roman" w:eastAsia="方正仿宋_GBK" w:cs="方正仿宋_GBK"/>
          <w:sz w:val="32"/>
          <w:szCs w:val="32"/>
          <w:shd w:val="clear" w:color="auto" w:fill="FFFFFF"/>
        </w:rPr>
        <w:t>%，较年初预算数减少0.55万元，下降5.0%，主要原因是</w:t>
      </w:r>
      <w:r>
        <w:rPr>
          <w:rFonts w:hint="eastAsia" w:ascii="Times New Roman" w:hAnsi="Times New Roman" w:eastAsia="方正仿宋_GBK" w:cs="方正仿宋_GBK"/>
          <w:sz w:val="32"/>
          <w:szCs w:val="32"/>
          <w:shd w:val="clear" w:color="auto" w:fill="FFFFFF"/>
          <w:lang w:val="en-US" w:eastAsia="zh-CN"/>
        </w:rPr>
        <w:t>资金</w:t>
      </w:r>
      <w:r>
        <w:rPr>
          <w:rFonts w:hint="eastAsia" w:ascii="Times New Roman" w:hAnsi="Times New Roman" w:eastAsia="方正仿宋_GBK" w:cs="方正仿宋_GBK"/>
          <w:color w:val="auto"/>
          <w:sz w:val="32"/>
          <w:szCs w:val="32"/>
          <w:lang w:val="en-US" w:eastAsia="zh-CN"/>
        </w:rPr>
        <w:t>未使用完</w:t>
      </w:r>
      <w:r>
        <w:rPr>
          <w:rFonts w:hint="eastAsia" w:ascii="Times New Roman" w:hAnsi="Times New Roman" w:eastAsia="方正仿宋_GBK" w:cs="方正仿宋_GBK"/>
          <w:sz w:val="32"/>
          <w:szCs w:val="32"/>
          <w:shd w:val="clear" w:color="auto" w:fill="FFFFFF"/>
          <w:lang w:val="en-US" w:eastAsia="zh-CN"/>
        </w:rPr>
        <w:t>，指标回收。</w:t>
      </w:r>
    </w:p>
    <w:p>
      <w:pPr>
        <w:keepNext w:val="0"/>
        <w:keepLines w:val="0"/>
        <w:pageBreakBefore w:val="0"/>
        <w:widowControl w:val="0"/>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住房保障支出13.20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4.53</w:t>
      </w:r>
      <w:r>
        <w:rPr>
          <w:rFonts w:ascii="Times New Roman" w:hAnsi="Times New Roman" w:eastAsia="方正仿宋_GBK" w:cs="方正仿宋_GBK"/>
          <w:sz w:val="32"/>
          <w:szCs w:val="32"/>
          <w:shd w:val="clear" w:color="auto" w:fill="FFFFFF"/>
        </w:rPr>
        <w:t>%，较年初预算数无增减，</w:t>
      </w:r>
      <w:r>
        <w:rPr>
          <w:rFonts w:hint="eastAsia" w:ascii="Times New Roman" w:hAnsi="Times New Roman" w:eastAsia="方正仿宋_GBK" w:cs="方正仿宋_GBK"/>
          <w:sz w:val="32"/>
          <w:szCs w:val="32"/>
          <w:shd w:val="clear" w:color="auto" w:fill="FFFFFF"/>
          <w:lang w:val="en-US" w:eastAsia="zh-CN"/>
        </w:rPr>
        <w:t>与年</w:t>
      </w:r>
      <w:r>
        <w:rPr>
          <w:rFonts w:hint="eastAsia" w:ascii="Times New Roman" w:hAnsi="Times New Roman" w:eastAsia="方正仿宋_GBK" w:cs="方正仿宋_GBK"/>
          <w:sz w:val="32"/>
          <w:szCs w:val="32"/>
          <w:lang w:val="en-US" w:eastAsia="zh-CN"/>
        </w:rPr>
        <w:t>初持平</w:t>
      </w:r>
      <w:r>
        <w:rPr>
          <w:rFonts w:ascii="Times New Roman" w:hAnsi="Times New Roman" w:eastAsia="方正仿宋_GBK" w:cs="方正仿宋_GBK"/>
          <w:sz w:val="32"/>
          <w:szCs w:val="32"/>
        </w:rPr>
        <w:t>。</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273.98</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253.79</w:t>
      </w:r>
      <w:r>
        <w:rPr>
          <w:rFonts w:ascii="Times New Roman" w:hAnsi="Times New Roman" w:eastAsia="方正仿宋_GBK" w:cs="方正仿宋_GBK"/>
          <w:sz w:val="32"/>
          <w:szCs w:val="32"/>
          <w:shd w:val="clear" w:color="auto" w:fill="FFFFFF"/>
        </w:rPr>
        <w:t>万元，与2023年度相比，增加253.79万元，增长100.0%，主要原因是</w:t>
      </w:r>
      <w:r>
        <w:rPr>
          <w:rFonts w:hint="eastAsia" w:ascii="Times New Roman" w:hAnsi="Times New Roman" w:eastAsia="方正仿宋_GBK" w:cs="方正仿宋_GBK"/>
          <w:kern w:val="2"/>
          <w:sz w:val="32"/>
          <w:szCs w:val="32"/>
          <w:lang w:val="en-US" w:eastAsia="zh-CN" w:bidi="ar-SA"/>
        </w:rPr>
        <w:t>2024年度开始独立核算，上年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支出</w:t>
      </w:r>
      <w:r>
        <w:rPr>
          <w:rFonts w:hint="eastAsia" w:ascii="Times New Roman" w:hAnsi="Times New Roman" w:eastAsia="方正仿宋_GBK" w:cs="方正仿宋_GBK"/>
          <w:kern w:val="2"/>
          <w:sz w:val="32"/>
          <w:szCs w:val="32"/>
          <w:lang w:val="en-US" w:eastAsia="zh-CN" w:bidi="ar-SA"/>
        </w:rPr>
        <w:t>。</w:t>
      </w:r>
      <w:r>
        <w:rPr>
          <w:rFonts w:ascii="Times New Roman" w:hAnsi="Times New Roman" w:eastAsia="方正仿宋_GBK" w:cs="方正仿宋_GBK"/>
          <w:sz w:val="32"/>
          <w:szCs w:val="32"/>
          <w:shd w:val="clear" w:color="auto" w:fill="FFFFFF"/>
        </w:rPr>
        <w:t>人员经费用途主要包括</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基本工资、津贴补贴、绩效工资、社会保障缴费、住房公积金</w:t>
      </w:r>
      <w:r>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20.20</w:t>
      </w:r>
      <w:r>
        <w:rPr>
          <w:rFonts w:ascii="Times New Roman" w:hAnsi="Times New Roman" w:eastAsia="方正仿宋_GBK" w:cs="方正仿宋_GBK"/>
          <w:sz w:val="32"/>
          <w:szCs w:val="32"/>
          <w:shd w:val="clear" w:color="auto" w:fill="FFFFFF"/>
        </w:rPr>
        <w:t>万元，与2023年度相比，增加20.20万元，增长100.0%，主要原因是</w:t>
      </w:r>
      <w:r>
        <w:rPr>
          <w:rFonts w:hint="eastAsia" w:ascii="Times New Roman" w:hAnsi="Times New Roman" w:eastAsia="方正仿宋_GBK" w:cs="方正仿宋_GBK"/>
          <w:kern w:val="2"/>
          <w:sz w:val="32"/>
          <w:szCs w:val="32"/>
          <w:lang w:val="en-US" w:eastAsia="zh-CN" w:bidi="ar-SA"/>
        </w:rPr>
        <w:t>2024年度开始独立核算，上年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支出</w:t>
      </w:r>
      <w:r>
        <w:rPr>
          <w:rFonts w:hint="eastAsia" w:ascii="Times New Roman" w:hAnsi="Times New Roman" w:eastAsia="方正仿宋_GBK" w:cs="方正仿宋_GBK"/>
          <w:sz w:val="32"/>
          <w:szCs w:val="32"/>
          <w:highlight w:val="none"/>
          <w:lang w:eastAsia="zh-CN"/>
        </w:rPr>
        <w:t>。</w:t>
      </w:r>
      <w:r>
        <w:rPr>
          <w:rFonts w:ascii="Times New Roman" w:hAnsi="Times New Roman"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highlight w:val="none"/>
          <w:shd w:val="clear" w:color="auto" w:fill="FFFFFF"/>
          <w:lang w:val="en-US" w:eastAsia="zh-CN"/>
        </w:rPr>
        <w:t>办公费、印刷费、水电费、邮电费、差旅费、劳务费、交通费等。</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度无政府性基金预算财政拨款收支。</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度无国有资本经营预算财政拨款支出。</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三、财政拨款“三公”经费情况说明</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（一）“三公”经费支出总体情况说明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0.84</w:t>
      </w:r>
      <w:r>
        <w:rPr>
          <w:rFonts w:ascii="Times New Roman" w:hAnsi="Times New Roman" w:eastAsia="方正仿宋_GBK" w:cs="方正仿宋_GBK"/>
          <w:sz w:val="32"/>
          <w:szCs w:val="32"/>
          <w:shd w:val="clear" w:color="auto" w:fill="FFFFFF"/>
        </w:rPr>
        <w:t>万元，较年初预</w:t>
      </w:r>
      <w:r>
        <w:rPr>
          <w:rFonts w:hint="eastAsia" w:ascii="Times New Roman" w:hAnsi="Times New Roman" w:eastAsia="方正仿宋_GBK" w:cs="方正仿宋_GBK"/>
          <w:sz w:val="32"/>
          <w:szCs w:val="32"/>
          <w:shd w:val="clear" w:color="auto" w:fill="FFFFFF"/>
          <w:lang w:eastAsia="zh-CN"/>
        </w:rPr>
        <w:t>算数减少1.51万元，下降64.3%，主要原因是</w:t>
      </w:r>
      <w:r>
        <w:rPr>
          <w:rFonts w:hint="eastAsia" w:ascii="Times New Roman" w:hAnsi="Times New Roman" w:eastAsia="方正仿宋_GBK" w:cs="方正仿宋_GBK"/>
          <w:sz w:val="32"/>
          <w:szCs w:val="32"/>
          <w:shd w:val="clear" w:color="auto" w:fill="FFFFFF"/>
          <w:lang w:val="en-US" w:eastAsia="zh-CN"/>
        </w:rPr>
        <w:t>厉行节约，落实过“紧日子”</w:t>
      </w:r>
      <w:r>
        <w:rPr>
          <w:rFonts w:hint="eastAsia" w:ascii="Times New Roman" w:hAnsi="Times New Roman" w:eastAsia="方正仿宋_GBK" w:cs="方正仿宋_GBK"/>
          <w:sz w:val="32"/>
          <w:szCs w:val="32"/>
          <w:shd w:val="clear" w:color="auto" w:fill="FFFFFF"/>
          <w:lang w:eastAsia="zh-CN"/>
        </w:rPr>
        <w:t>。较上年支出数增加0.84万元，增长100.0%，主要原因是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Times New Roman" w:hAnsi="Times New Roman" w:eastAsia="方正仿宋_GBK" w:cs="方正仿宋_GBK"/>
          <w:kern w:val="2"/>
          <w:sz w:val="32"/>
          <w:szCs w:val="32"/>
          <w:lang w:val="en-US" w:eastAsia="zh-CN" w:bidi="ar-SA"/>
        </w:rPr>
        <w:t>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支出</w:t>
      </w:r>
      <w:r>
        <w:rPr>
          <w:rFonts w:hint="eastAsia" w:ascii="Times New Roman" w:hAnsi="Times New Roman" w:eastAsia="方正仿宋_GBK" w:cs="方正仿宋_GBK"/>
          <w:kern w:val="2"/>
          <w:sz w:val="32"/>
          <w:szCs w:val="32"/>
          <w:lang w:val="en-US" w:eastAsia="zh-CN" w:bidi="ar-SA"/>
        </w:rPr>
        <w:t>。</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（二）“三公”经费分项支出情况</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与2023年度相比，无增减，主要原因是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Times New Roman" w:hAnsi="Times New Roman" w:eastAsia="方正仿宋_GBK" w:cs="方正仿宋_GBK"/>
          <w:kern w:val="2"/>
          <w:sz w:val="32"/>
          <w:szCs w:val="32"/>
          <w:lang w:val="en-US" w:eastAsia="zh-CN" w:bidi="ar-SA"/>
        </w:rPr>
        <w:t>开始独立核算。</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与2023年度相比，无增减，主要原因是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Times New Roman" w:hAnsi="Times New Roman" w:eastAsia="方正仿宋_GBK" w:cs="方正仿宋_GBK"/>
          <w:kern w:val="2"/>
          <w:sz w:val="32"/>
          <w:szCs w:val="32"/>
          <w:lang w:val="en-US" w:eastAsia="zh-CN" w:bidi="ar-SA"/>
        </w:rPr>
        <w:t>开始独立核算。</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较上年支出数无增减，主要原因是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Times New Roman" w:hAnsi="Times New Roman" w:eastAsia="方正仿宋_GBK" w:cs="方正仿宋_GBK"/>
          <w:kern w:val="2"/>
          <w:sz w:val="32"/>
          <w:szCs w:val="32"/>
          <w:lang w:val="en-US" w:eastAsia="zh-CN" w:bidi="ar-SA"/>
        </w:rPr>
        <w:t>开始独立核算。</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0.84</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i w:val="0"/>
          <w:color w:val="000000"/>
          <w:kern w:val="0"/>
          <w:sz w:val="32"/>
          <w:szCs w:val="32"/>
          <w:u w:val="none"/>
          <w:lang w:val="en-US" w:eastAsia="zh-CN" w:bidi="ar"/>
        </w:rPr>
        <w:t>武隆区委研究室、市委研究室、陕西省委研究室等来巫调研。</w:t>
      </w:r>
      <w:r>
        <w:rPr>
          <w:rFonts w:ascii="Times New Roman" w:hAnsi="Times New Roman" w:eastAsia="方正仿宋_GBK" w:cs="方正仿宋_GBK"/>
          <w:sz w:val="32"/>
          <w:szCs w:val="32"/>
          <w:shd w:val="clear" w:color="auto" w:fill="FFFFFF"/>
        </w:rPr>
        <w:t>费用支出较年初预算数减少1.51万元，下降64.3%，主要原因是</w:t>
      </w:r>
      <w:r>
        <w:rPr>
          <w:rFonts w:hint="eastAsia" w:ascii="Times New Roman" w:hAnsi="Times New Roman" w:eastAsia="方正仿宋_GBK" w:cs="方正仿宋_GBK"/>
          <w:sz w:val="32"/>
          <w:szCs w:val="32"/>
          <w:shd w:val="clear" w:color="auto" w:fill="FFFFFF"/>
          <w:lang w:val="en-US" w:eastAsia="zh-CN"/>
        </w:rPr>
        <w:t>厉行节约，落实过“紧日子”</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较上年支出数增加0.84万元，增长100.0%，主要原因是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Times New Roman" w:hAnsi="Times New Roman" w:eastAsia="方正仿宋_GBK" w:cs="方正仿宋_GBK"/>
          <w:kern w:val="2"/>
          <w:sz w:val="32"/>
          <w:szCs w:val="32"/>
          <w:lang w:val="en-US" w:eastAsia="zh-CN" w:bidi="ar-SA"/>
        </w:rPr>
        <w:t>开始独立核算，上年</w:t>
      </w:r>
      <w:r>
        <w:rPr>
          <w:rFonts w:hint="eastAsia" w:ascii="Times New Roman" w:hAnsi="Times New Roman" w:eastAsia="方正仿宋_GBK" w:cs="方正仿宋_GBK"/>
          <w:sz w:val="32"/>
          <w:szCs w:val="32"/>
          <w:highlight w:val="none"/>
        </w:rPr>
        <w:t>度</w:t>
      </w:r>
      <w:r>
        <w:rPr>
          <w:rFonts w:hint="eastAsia" w:ascii="Times New Roman" w:hAnsi="Times New Roman" w:eastAsia="方正仿宋_GBK" w:cs="方正仿宋_GBK"/>
          <w:kern w:val="2"/>
          <w:sz w:val="32"/>
          <w:szCs w:val="32"/>
          <w:lang w:val="en-US" w:eastAsia="zh-CN" w:bidi="ar-SA"/>
        </w:rPr>
        <w:t>无</w:t>
      </w:r>
      <w:r>
        <w:rPr>
          <w:rFonts w:hint="eastAsia" w:ascii="Times New Roman" w:hAnsi="Times New Roman" w:eastAsia="方正仿宋_GBK" w:cs="方正仿宋_GBK"/>
          <w:sz w:val="32"/>
          <w:szCs w:val="32"/>
          <w:highlight w:val="none"/>
        </w:rPr>
        <w:t>支出</w:t>
      </w:r>
      <w:r>
        <w:rPr>
          <w:rFonts w:hint="eastAsia" w:ascii="Times New Roman" w:hAnsi="Times New Roman" w:eastAsia="方正仿宋_GBK" w:cs="方正仿宋_GBK"/>
          <w:kern w:val="2"/>
          <w:sz w:val="32"/>
          <w:szCs w:val="32"/>
          <w:lang w:val="en-US" w:eastAsia="zh-CN" w:bidi="ar-SA"/>
        </w:rPr>
        <w:t>。</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3</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45</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本单位人均接待费</w:t>
      </w:r>
      <w:r>
        <w:rPr>
          <w:rFonts w:ascii="Times New Roman" w:hAnsi="Times New Roman" w:eastAsia="方正仿宋_GBK" w:cs="方正仿宋_GBK"/>
          <w:sz w:val="32"/>
          <w:szCs w:val="32"/>
        </w:rPr>
        <w:t>185.78</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四、其他需要说明的事项</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（一）财政拨款会议费和培训费情况说明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度无</w:t>
      </w:r>
      <w:r>
        <w:rPr>
          <w:rFonts w:hint="eastAsia" w:ascii="Times New Roman" w:hAnsi="Times New Roman" w:eastAsia="方正仿宋_GBK" w:cs="方正仿宋_GBK"/>
          <w:sz w:val="32"/>
          <w:szCs w:val="32"/>
          <w:shd w:val="clear" w:color="auto" w:fill="FFFFFF"/>
        </w:rPr>
        <w:t>会议费和培训费</w:t>
      </w:r>
      <w:r>
        <w:rPr>
          <w:rFonts w:ascii="Times New Roman" w:hAnsi="Times New Roman" w:eastAsia="方正仿宋_GBK" w:cs="方正仿宋_GBK"/>
          <w:sz w:val="32"/>
          <w:szCs w:val="32"/>
          <w:shd w:val="clear" w:color="auto" w:fill="FFFFFF"/>
        </w:rPr>
        <w:t>支出。</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按照部门决算列报口径，我单位不在机关运行经费统计范围之内。</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度本单位政府采购支出总额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0.00万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五、2024年度预算绩效管理情况说明</w:t>
      </w:r>
    </w:p>
    <w:p>
      <w:pPr>
        <w:pStyle w:val="11"/>
        <w:keepNext w:val="0"/>
        <w:keepLines w:val="0"/>
        <w:pageBreakBefore w:val="0"/>
        <w:widowControl w:val="0"/>
        <w:kinsoku/>
        <w:wordWrap/>
        <w:overflowPunct/>
        <w:topLinePunct w:val="0"/>
        <w:autoSpaceDE w:val="0"/>
        <w:bidi w:val="0"/>
        <w:adjustRightInd w:val="0"/>
        <w:snapToGrid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（一）单位自评情况</w:t>
      </w:r>
    </w:p>
    <w:p>
      <w:pPr>
        <w:pStyle w:val="1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根据预算绩效管理要求，我单位对1个项目开展了绩效自评，涉及财政拨款项目支出资金</w:t>
      </w:r>
      <w:r>
        <w:rPr>
          <w:rFonts w:hint="default" w:ascii="Times New Roman" w:hAnsi="Times New Roman" w:eastAsia="方正仿宋_GBK" w:cs="方正仿宋_GBK"/>
          <w:sz w:val="32"/>
          <w:szCs w:val="32"/>
          <w:shd w:val="clear" w:color="auto" w:fill="FFFFFF"/>
          <w:lang w:val="en-US" w:eastAsia="zh-CN" w:bidi="ar-SA"/>
        </w:rPr>
        <w:t>17.56</w:t>
      </w:r>
      <w:r>
        <w:rPr>
          <w:rFonts w:hint="eastAsia" w:ascii="Times New Roman" w:hAnsi="Times New Roman" w:eastAsia="方正仿宋_GBK" w:cs="方正仿宋_GBK"/>
          <w:sz w:val="32"/>
          <w:szCs w:val="32"/>
          <w:shd w:val="clear" w:color="auto" w:fill="FFFFFF"/>
          <w:lang w:val="en-US" w:eastAsia="zh-CN" w:bidi="ar-SA"/>
        </w:rPr>
        <w:t>万元。</w:t>
      </w:r>
    </w:p>
    <w:tbl>
      <w:tblPr>
        <w:tblStyle w:val="8"/>
        <w:tblW w:w="52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
        <w:gridCol w:w="1091"/>
        <w:gridCol w:w="543"/>
        <w:gridCol w:w="15"/>
        <w:gridCol w:w="858"/>
        <w:gridCol w:w="693"/>
        <w:gridCol w:w="15"/>
        <w:gridCol w:w="558"/>
        <w:gridCol w:w="1200"/>
        <w:gridCol w:w="15"/>
        <w:gridCol w:w="1144"/>
        <w:gridCol w:w="668"/>
        <w:gridCol w:w="15"/>
        <w:gridCol w:w="668"/>
        <w:gridCol w:w="15"/>
        <w:gridCol w:w="993"/>
        <w:gridCol w:w="15"/>
        <w:gridCol w:w="832"/>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trHeight w:val="815" w:hRule="atLeast"/>
        </w:trPr>
        <w:tc>
          <w:tcPr>
            <w:tcW w:w="9368"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方正小标宋_GBK" w:cs="方正小标宋_GBK"/>
                <w:i w:val="0"/>
                <w:color w:val="000000"/>
                <w:sz w:val="32"/>
                <w:szCs w:val="32"/>
                <w:u w:val="none"/>
              </w:rPr>
            </w:pPr>
            <w:r>
              <w:rPr>
                <w:rFonts w:hint="eastAsia" w:ascii="Times New Roman" w:hAnsi="Times New Roman" w:eastAsia="方正小标宋_GBK" w:cs="方正小标宋_GBK"/>
                <w:i w:val="0"/>
                <w:color w:val="000000"/>
                <w:kern w:val="0"/>
                <w:sz w:val="32"/>
                <w:szCs w:val="32"/>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5" w:hRule="atLeast"/>
        </w:trPr>
        <w:tc>
          <w:tcPr>
            <w:tcW w:w="9368"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imes New Roman" w:hAnsi="Times New Roman"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555"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项目名称：</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2024年全县经济社会发展情况调研考察</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项目编码：</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50023824T000004136111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自评总分：</w:t>
            </w:r>
          </w:p>
        </w:tc>
        <w:tc>
          <w:tcPr>
            <w:tcW w:w="13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555"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项目主管部门：</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001-中国共产党巫溪县委员会办公室</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方正仿宋_GBK" w:cs="方正仿宋_GBK"/>
                <w:i w:val="0"/>
                <w:color w:val="000000"/>
                <w:kern w:val="0"/>
                <w:sz w:val="21"/>
                <w:szCs w:val="21"/>
                <w:u w:val="none"/>
                <w:lang w:val="en-US" w:eastAsia="zh-CN" w:bidi="ar"/>
              </w:rPr>
              <w:t>财政归口科室</w:t>
            </w:r>
            <w:r>
              <w:rPr>
                <w:rFonts w:hint="default" w:ascii="Times New Roman" w:hAnsi="Times New Roman" w:eastAsia="宋体" w:cs="Times New Roman"/>
                <w:i w:val="0"/>
                <w:color w:val="000000"/>
                <w:kern w:val="0"/>
                <w:sz w:val="21"/>
                <w:szCs w:val="21"/>
                <w:u w:val="none"/>
                <w:lang w:val="en-US" w:eastAsia="zh-CN" w:bidi="ar"/>
              </w:rPr>
              <w:t>：</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005-行财科</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部门联系人：</w:t>
            </w:r>
          </w:p>
        </w:tc>
        <w:tc>
          <w:tcPr>
            <w:tcW w:w="13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袁浩岚</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联系电话：</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615" w:hRule="atLeast"/>
        </w:trPr>
        <w:tc>
          <w:tcPr>
            <w:tcW w:w="9368"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方正黑体_GBK" w:cs="方正黑体_GBK"/>
                <w:i w:val="0"/>
                <w:color w:val="000000"/>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5" w:hRule="atLeast"/>
        </w:trPr>
        <w:tc>
          <w:tcPr>
            <w:tcW w:w="1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年初预算数</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全年（调整）预算数</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全年执行数</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执行率</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执行率权重</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5" w:hRule="atLeast"/>
        </w:trPr>
        <w:tc>
          <w:tcPr>
            <w:tcW w:w="1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年度总金额</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300,000.00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175,609.00</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175,609.00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5" w:hRule="atLeast"/>
        </w:trPr>
        <w:tc>
          <w:tcPr>
            <w:tcW w:w="1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其中：财政拨款</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300,000.00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175,609.00</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175,609.00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5" w:hRule="atLeast"/>
        </w:trPr>
        <w:tc>
          <w:tcPr>
            <w:tcW w:w="1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一般公共预算</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300,000.00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175,609.00</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175,609.00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615" w:hRule="atLeast"/>
        </w:trPr>
        <w:tc>
          <w:tcPr>
            <w:tcW w:w="9368"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黑体_GBK" w:cs="方正黑体_GBK"/>
                <w:i w:val="0"/>
                <w:color w:val="000000"/>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5" w:hRule="atLeast"/>
        </w:trPr>
        <w:tc>
          <w:tcPr>
            <w:tcW w:w="322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年初绩效目标</w:t>
            </w:r>
          </w:p>
        </w:tc>
        <w:tc>
          <w:tcPr>
            <w:tcW w:w="360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全年（调整）绩效目标</w:t>
            </w:r>
          </w:p>
        </w:tc>
        <w:tc>
          <w:tcPr>
            <w:tcW w:w="254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1635" w:hRule="atLeast"/>
        </w:trPr>
        <w:tc>
          <w:tcPr>
            <w:tcW w:w="322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围绕全县中心工作在县内外开展综合调研，就乡村振兴、产业发展、重点项目建设、人才引育、城市建设、生态环境保护、创新驱动发展、数字重庆、对外开放、社会事业、党的建设等开展专项调研，全年共计30次；围绕全县重点工作、特色亮点等策划内部宣传巫溪，全年共计10次；保障日常办公运转所需耗材、打印设备、办公电脑等。</w:t>
            </w:r>
          </w:p>
        </w:tc>
        <w:tc>
          <w:tcPr>
            <w:tcW w:w="360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254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方正仿宋_GBK" w:cs="方正仿宋_GBK"/>
                <w:i w:val="0"/>
                <w:color w:val="000000"/>
                <w:kern w:val="0"/>
                <w:sz w:val="21"/>
                <w:szCs w:val="21"/>
                <w:u w:val="none"/>
                <w:lang w:val="en-US" w:eastAsia="zh-CN" w:bidi="ar"/>
              </w:rPr>
              <w:t>开展各类调研32次；内部宣传巫溪11次。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825" w:hRule="atLeast"/>
        </w:trPr>
        <w:tc>
          <w:tcPr>
            <w:tcW w:w="322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36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254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1095" w:hRule="atLeast"/>
        </w:trPr>
        <w:tc>
          <w:tcPr>
            <w:tcW w:w="322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36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254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825" w:hRule="atLeast"/>
        </w:trPr>
        <w:tc>
          <w:tcPr>
            <w:tcW w:w="322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36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c>
          <w:tcPr>
            <w:tcW w:w="254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Height w:val="515" w:hRule="atLeast"/>
        </w:trPr>
        <w:tc>
          <w:tcPr>
            <w:tcW w:w="9368"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黑体_GBK" w:cs="方正黑体_GBK"/>
                <w:i w:val="0"/>
                <w:color w:val="000000"/>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50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指标名称</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计量单位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指标性质</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指标值</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全年完成值</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偏离度（</w:t>
            </w:r>
            <w:r>
              <w:rPr>
                <w:rStyle w:val="16"/>
                <w:rFonts w:ascii="Times New Roman" w:hAnsi="Times New Roman" w:eastAsia="方正仿宋_GBK"/>
                <w:lang w:val="en-US" w:eastAsia="zh-CN" w:bidi="ar"/>
              </w:rPr>
              <w:t>%</w:t>
            </w:r>
            <w:r>
              <w:rPr>
                <w:rStyle w:val="17"/>
                <w:rFonts w:ascii="Times New Roman" w:hAnsi="Times New Roman"/>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得分系数（</w:t>
            </w:r>
            <w:r>
              <w:rPr>
                <w:rStyle w:val="16"/>
                <w:rFonts w:ascii="Times New Roman" w:hAnsi="Times New Roman" w:eastAsia="方正仿宋_GBK"/>
                <w:lang w:val="en-US" w:eastAsia="zh-CN" w:bidi="ar"/>
              </w:rPr>
              <w:t>%</w:t>
            </w:r>
            <w:r>
              <w:rPr>
                <w:rStyle w:val="17"/>
                <w:rFonts w:ascii="Times New Roman" w:hAnsi="Times New Roman"/>
                <w:lang w:val="en-US" w:eastAsia="zh-CN" w:bidi="ar"/>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指标权重</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指标得分</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是否核心指标</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50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开展调研次数</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32</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6.67</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50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撰写县委及县委主要领导讲话、重要文章</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起草重要文稿增加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50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撰写县委主要领导及重要活动新闻稿、宣传稿</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51</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起草重要文稿增加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135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撰写全县经济发展方面重要讲话、会议材料</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16</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起草重要文稿增加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162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撰写增进社会民生福祉方面重要讲话、会议材料</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18</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Height w:val="135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撰写全县生态环境方面重要讲话、会议材料</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11</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i w:val="0"/>
                <w:color w:val="000000"/>
                <w:sz w:val="21"/>
                <w:szCs w:val="21"/>
                <w:u w:val="none"/>
              </w:rPr>
            </w:pPr>
          </w:p>
        </w:tc>
      </w:tr>
    </w:tbl>
    <w:p>
      <w:pPr>
        <w:pStyle w:val="11"/>
        <w:keepNext w:val="0"/>
        <w:keepLines w:val="0"/>
        <w:pageBreakBefore w:val="0"/>
        <w:kinsoku/>
        <w:wordWrap/>
        <w:overflowPunct/>
        <w:topLinePunct w:val="0"/>
        <w:autoSpaceDE w:val="0"/>
        <w:bidi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Times New Roman" w:hAnsi="Times New Roman" w:eastAsia="方正仿宋_GBK" w:cs="方正仿宋_GBK"/>
          <w:kern w:val="0"/>
          <w:sz w:val="32"/>
          <w:szCs w:val="32"/>
          <w:highlight w:val="none"/>
          <w:shd w:val="clear" w:fill="FFFFFF"/>
        </w:rPr>
      </w:pPr>
      <w:r>
        <w:rPr>
          <w:rFonts w:hint="eastAsia" w:ascii="Times New Roman" w:hAnsi="Times New Roman" w:eastAsia="方正仿宋_GBK" w:cs="方正仿宋_GBK"/>
          <w:i w:val="0"/>
          <w:caps w:val="0"/>
          <w:color w:val="000000"/>
          <w:spacing w:val="0"/>
          <w:kern w:val="0"/>
          <w:sz w:val="32"/>
          <w:szCs w:val="32"/>
          <w:highlight w:val="none"/>
          <w:lang w:val="en-US" w:eastAsia="zh-CN" w:bidi="ar"/>
        </w:rPr>
        <w:t>我单位未组织开展绩效评价。</w:t>
      </w:r>
    </w:p>
    <w:p>
      <w:pPr>
        <w:pStyle w:val="11"/>
        <w:keepNext w:val="0"/>
        <w:keepLines w:val="0"/>
        <w:pageBreakBefore w:val="0"/>
        <w:kinsoku/>
        <w:wordWrap/>
        <w:overflowPunct/>
        <w:topLinePunct w:val="0"/>
        <w:autoSpaceDE w:val="0"/>
        <w:bidi w:val="0"/>
        <w:spacing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lang w:val="en-US" w:eastAsia="zh-CN"/>
        </w:rPr>
        <w:t>（三）财政绩效评价情况</w:t>
      </w:r>
    </w:p>
    <w:p>
      <w:pPr>
        <w:pStyle w:val="14"/>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方正仿宋_GBK"/>
          <w:sz w:val="32"/>
          <w:szCs w:val="32"/>
          <w:highlight w:val="none"/>
          <w:shd w:val="clear" w:color="auto" w:fill="FFFFFF"/>
          <w:lang w:val="en-US" w:eastAsia="zh-CN" w:bidi="ar-SA"/>
        </w:rPr>
        <w:t>县财政局未委托第三方对我单位开展绩效评价。</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（二）年初结转和结余：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（三）年末结转和结余：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（四）基本支出：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（五）项目支出：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（六）“三公”经费：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（七）工资福利支出（支出经济分类科目类级）：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10"/>
          <w:rFonts w:hint="eastAsia" w:ascii="Times New Roman" w:hAnsi="Times New Roman" w:eastAsia="方正仿宋_GBK" w:cs="方正仿宋_GBK"/>
          <w:sz w:val="32"/>
          <w:szCs w:val="32"/>
          <w:shd w:val="clear" w:color="auto" w:fill="FFFFFF"/>
          <w:lang w:val="en-US" w:eastAsia="zh-CN" w:bidi="ar-SA"/>
        </w:rPr>
        <w:t>（八）商品和服务支出（支出经济分类科目类级）：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highlight w:val="none"/>
          <w:lang w:val="en-US" w:eastAsia="zh-CN"/>
        </w:rPr>
        <w:t xml:space="preserve">卢小奉  </w:t>
      </w:r>
      <w:r>
        <w:rPr>
          <w:rFonts w:hint="eastAsia" w:ascii="Times New Roman" w:hAnsi="Times New Roman" w:eastAsia="方正仿宋_GBK" w:cs="方正仿宋_GBK"/>
          <w:spacing w:val="-6"/>
          <w:kern w:val="0"/>
          <w:sz w:val="32"/>
          <w:szCs w:val="32"/>
          <w:highlight w:val="none"/>
          <w:shd w:val="clear" w:color="auto" w:fill="FFFFFF"/>
        </w:rPr>
        <w:t>023-51535011</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eastAsia="方正仿宋_GBK" w:cs="方正仿宋_GBK"/>
          <w:color w:val="FF0000"/>
          <w:sz w:val="32"/>
          <w:szCs w:val="32"/>
          <w:shd w:val="clear" w:color="auto" w:fill="FFFFFF"/>
          <w:lang w:val="en-US" w:eastAsia="zh-CN" w:bidi="ar-SA"/>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eastAsia="方正仿宋_GBK" w:cs="方正仿宋_GBK"/>
          <w:color w:val="FF0000"/>
          <w:sz w:val="32"/>
          <w:szCs w:val="32"/>
          <w:shd w:val="clear" w:color="auto" w:fill="FFFFFF"/>
          <w:lang w:val="en-US" w:eastAsia="zh-CN" w:bidi="ar-SA"/>
        </w:rPr>
        <w:sectPr>
          <w:footerReference r:id="rId3" w:type="default"/>
          <w:pgSz w:w="11915" w:h="16840"/>
          <w:pgMar w:top="2211" w:right="1474" w:bottom="1474" w:left="1587"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中共巫溪县委调研信息中心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229.61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291.54</w:t>
            </w:r>
          </w:p>
        </w:tc>
      </w:tr>
    </w:tbl>
    <w:p>
      <w:pPr>
        <w:pStyle w:val="11"/>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Times New Roman" w:hAnsi="Times New Roman"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中共巫溪县委调研信息中心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291.54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291.54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党委办公厅（室）及相关机构事务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专项业务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 xml:space="preserve">中共巫溪县委调研信息中心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291.54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273.98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17.56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党委办公厅（室）及相关机构事务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专项业务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中共巫溪县委调研信息中心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中共巫溪县委调研信息中心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291.54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273.98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291.54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273.98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20131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党委办公厅（室）及相关机构事务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专项业务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2013150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中共巫溪县委调研信息中心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253.79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253.79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20.20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中共巫溪县委调研信息中心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Times New Roman" w:hAnsi="Times New Roman" w:eastAsia="宋体" w:cs="宋体"/>
          <w:sz w:val="21"/>
          <w:szCs w:val="21"/>
        </w:rPr>
      </w:pPr>
      <w:r>
        <w:rPr>
          <w:rFonts w:hint="eastAsia" w:ascii="Times New Roman" w:hAnsi="Times New Roman" w:cs="宋体"/>
          <w:sz w:val="21"/>
          <w:szCs w:val="21"/>
          <w:highlight w:val="none"/>
          <w:lang w:val="en-US" w:eastAsia="zh-CN"/>
        </w:rPr>
        <w:t>备注：本年无政府性基金收支，故本表无数据。</w:t>
      </w:r>
    </w:p>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中共巫溪县委调研信息中心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cs="宋体"/>
          <w:sz w:val="21"/>
          <w:szCs w:val="21"/>
          <w:highlight w:val="none"/>
          <w:lang w:val="en-US" w:eastAsia="zh-CN"/>
        </w:rPr>
        <w:t>备注：本年无国有资本经营收支，故本表无数据。</w:t>
      </w:r>
    </w:p>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中共巫溪县委调研信息中心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0.84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0.84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0.84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0.23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pStyle w:val="11"/>
        <w:autoSpaceDE w:val="0"/>
        <w:ind w:firstLine="0" w:firstLineChars="0"/>
        <w:rPr>
          <w:rFonts w:hint="default" w:ascii="Times New Roman" w:hAnsi="Times New Roman"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0B399A"/>
    <w:rsid w:val="01474EBF"/>
    <w:rsid w:val="01F3521E"/>
    <w:rsid w:val="03E3214F"/>
    <w:rsid w:val="04446191"/>
    <w:rsid w:val="044C50BA"/>
    <w:rsid w:val="067E730C"/>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C9F349D"/>
    <w:rsid w:val="0D11728C"/>
    <w:rsid w:val="0D1903D8"/>
    <w:rsid w:val="0D673E11"/>
    <w:rsid w:val="0DB50EFE"/>
    <w:rsid w:val="0DC84EA8"/>
    <w:rsid w:val="0DDA54E4"/>
    <w:rsid w:val="0E3A5F83"/>
    <w:rsid w:val="0F836721"/>
    <w:rsid w:val="103645A3"/>
    <w:rsid w:val="107B59E5"/>
    <w:rsid w:val="10CB17BD"/>
    <w:rsid w:val="11003CB0"/>
    <w:rsid w:val="111445C7"/>
    <w:rsid w:val="1158083A"/>
    <w:rsid w:val="11ED2754"/>
    <w:rsid w:val="11F03528"/>
    <w:rsid w:val="12C921C4"/>
    <w:rsid w:val="133111AA"/>
    <w:rsid w:val="13850DCB"/>
    <w:rsid w:val="13871C70"/>
    <w:rsid w:val="13A71CB4"/>
    <w:rsid w:val="13AF1D43"/>
    <w:rsid w:val="13C643C6"/>
    <w:rsid w:val="13CE1647"/>
    <w:rsid w:val="140C414B"/>
    <w:rsid w:val="141A11EA"/>
    <w:rsid w:val="14200702"/>
    <w:rsid w:val="148E377E"/>
    <w:rsid w:val="1580711B"/>
    <w:rsid w:val="167845E8"/>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5C7947"/>
    <w:rsid w:val="23D05BB4"/>
    <w:rsid w:val="24B92327"/>
    <w:rsid w:val="2533755C"/>
    <w:rsid w:val="26396DF4"/>
    <w:rsid w:val="270642A6"/>
    <w:rsid w:val="27167136"/>
    <w:rsid w:val="27B23302"/>
    <w:rsid w:val="29310A5F"/>
    <w:rsid w:val="299947CC"/>
    <w:rsid w:val="29C37A35"/>
    <w:rsid w:val="29C71829"/>
    <w:rsid w:val="29C95E09"/>
    <w:rsid w:val="2A076083"/>
    <w:rsid w:val="2A73162E"/>
    <w:rsid w:val="2B167953"/>
    <w:rsid w:val="2B200583"/>
    <w:rsid w:val="2B8209DE"/>
    <w:rsid w:val="2C161D32"/>
    <w:rsid w:val="2C2D3EC7"/>
    <w:rsid w:val="2C6762A3"/>
    <w:rsid w:val="2CD77367"/>
    <w:rsid w:val="2D8D2A49"/>
    <w:rsid w:val="2FB34F59"/>
    <w:rsid w:val="2FE029D7"/>
    <w:rsid w:val="2FF06E00"/>
    <w:rsid w:val="315D199F"/>
    <w:rsid w:val="315F0B22"/>
    <w:rsid w:val="31D84415"/>
    <w:rsid w:val="32285F6F"/>
    <w:rsid w:val="32770556"/>
    <w:rsid w:val="329B6F6B"/>
    <w:rsid w:val="329C0913"/>
    <w:rsid w:val="3337290D"/>
    <w:rsid w:val="34C11831"/>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E77612"/>
    <w:rsid w:val="4238300F"/>
    <w:rsid w:val="426C1EA8"/>
    <w:rsid w:val="42C8291B"/>
    <w:rsid w:val="42E86A87"/>
    <w:rsid w:val="43136432"/>
    <w:rsid w:val="43770A38"/>
    <w:rsid w:val="443A3B12"/>
    <w:rsid w:val="44A854C2"/>
    <w:rsid w:val="44DD597D"/>
    <w:rsid w:val="4542774B"/>
    <w:rsid w:val="465B470D"/>
    <w:rsid w:val="468A1B60"/>
    <w:rsid w:val="469D6AD4"/>
    <w:rsid w:val="473E5727"/>
    <w:rsid w:val="47674801"/>
    <w:rsid w:val="48225EF7"/>
    <w:rsid w:val="495C4A24"/>
    <w:rsid w:val="4A107850"/>
    <w:rsid w:val="4AD70EE7"/>
    <w:rsid w:val="4B7951CB"/>
    <w:rsid w:val="4B7C315C"/>
    <w:rsid w:val="4B884E3D"/>
    <w:rsid w:val="4BAB7F90"/>
    <w:rsid w:val="4D42686F"/>
    <w:rsid w:val="4DAC4ACA"/>
    <w:rsid w:val="4E4D45E6"/>
    <w:rsid w:val="4EAB586B"/>
    <w:rsid w:val="4F0C1372"/>
    <w:rsid w:val="4F186D58"/>
    <w:rsid w:val="50EC262C"/>
    <w:rsid w:val="51F46EEE"/>
    <w:rsid w:val="522F6E0C"/>
    <w:rsid w:val="52463BA1"/>
    <w:rsid w:val="53C0244D"/>
    <w:rsid w:val="53DD4D4E"/>
    <w:rsid w:val="53E578CE"/>
    <w:rsid w:val="543B029D"/>
    <w:rsid w:val="545D0246"/>
    <w:rsid w:val="554E5773"/>
    <w:rsid w:val="555A3CBC"/>
    <w:rsid w:val="56530F5D"/>
    <w:rsid w:val="5659719B"/>
    <w:rsid w:val="5842572D"/>
    <w:rsid w:val="5A3E22F3"/>
    <w:rsid w:val="5AE75037"/>
    <w:rsid w:val="5B58571C"/>
    <w:rsid w:val="5B8376C2"/>
    <w:rsid w:val="5B96133A"/>
    <w:rsid w:val="5C1336B7"/>
    <w:rsid w:val="5C263CE4"/>
    <w:rsid w:val="5C5D2777"/>
    <w:rsid w:val="5D290C69"/>
    <w:rsid w:val="5D537F41"/>
    <w:rsid w:val="5EFA176D"/>
    <w:rsid w:val="5F0247F9"/>
    <w:rsid w:val="5F2D4A41"/>
    <w:rsid w:val="5F4863C4"/>
    <w:rsid w:val="601C34ED"/>
    <w:rsid w:val="60A70823"/>
    <w:rsid w:val="60A958A9"/>
    <w:rsid w:val="60D22ADB"/>
    <w:rsid w:val="61025A59"/>
    <w:rsid w:val="613D5BBC"/>
    <w:rsid w:val="61536C39"/>
    <w:rsid w:val="61D019AA"/>
    <w:rsid w:val="62944DD7"/>
    <w:rsid w:val="634D1435"/>
    <w:rsid w:val="63C25DC5"/>
    <w:rsid w:val="63C62057"/>
    <w:rsid w:val="63C73832"/>
    <w:rsid w:val="63F00C75"/>
    <w:rsid w:val="64FB113D"/>
    <w:rsid w:val="654E4D38"/>
    <w:rsid w:val="656152C6"/>
    <w:rsid w:val="6587477F"/>
    <w:rsid w:val="658C3A08"/>
    <w:rsid w:val="65C031CA"/>
    <w:rsid w:val="65CE6852"/>
    <w:rsid w:val="66267C04"/>
    <w:rsid w:val="663F505A"/>
    <w:rsid w:val="665C1999"/>
    <w:rsid w:val="667F2393"/>
    <w:rsid w:val="66EE5541"/>
    <w:rsid w:val="686974AB"/>
    <w:rsid w:val="68AC3583"/>
    <w:rsid w:val="692172FD"/>
    <w:rsid w:val="6A3829EE"/>
    <w:rsid w:val="6A7470A8"/>
    <w:rsid w:val="6AC551EB"/>
    <w:rsid w:val="6B474EF5"/>
    <w:rsid w:val="6C560CAE"/>
    <w:rsid w:val="6D0615E4"/>
    <w:rsid w:val="6D0D68E9"/>
    <w:rsid w:val="6D903FF5"/>
    <w:rsid w:val="6DA955B8"/>
    <w:rsid w:val="6DE346AB"/>
    <w:rsid w:val="6F24563F"/>
    <w:rsid w:val="6F7F6A2D"/>
    <w:rsid w:val="6FB442D1"/>
    <w:rsid w:val="6FC82564"/>
    <w:rsid w:val="6FFB2E76"/>
    <w:rsid w:val="71C34D91"/>
    <w:rsid w:val="71ED38AA"/>
    <w:rsid w:val="720229AA"/>
    <w:rsid w:val="72DB435C"/>
    <w:rsid w:val="750837F0"/>
    <w:rsid w:val="75603C3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6">
    <w:name w:val="font41"/>
    <w:basedOn w:val="9"/>
    <w:qFormat/>
    <w:uiPriority w:val="0"/>
    <w:rPr>
      <w:rFonts w:hint="default" w:ascii="Times New Roman" w:hAnsi="Times New Roman" w:cs="Times New Roman"/>
      <w:color w:val="000000"/>
      <w:sz w:val="21"/>
      <w:szCs w:val="21"/>
      <w:u w:val="none"/>
    </w:rPr>
  </w:style>
  <w:style w:type="character" w:customStyle="1" w:styleId="17">
    <w:name w:val="font11"/>
    <w:basedOn w:val="9"/>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5288</Words>
  <Characters>6908</Characters>
  <Lines>161</Lines>
  <Paragraphs>45</Paragraphs>
  <TotalTime>10</TotalTime>
  <ScaleCrop>false</ScaleCrop>
  <LinksUpToDate>false</LinksUpToDate>
  <CharactersWithSpaces>7225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2025-09-11T04:15:59Z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y fmtid="{D5CDD505-2E9C-101B-9397-08002B2CF9AE}" pid="4" name="KSOTemplateDocerSaveRecord">
    <vt:lpwstr>eyJoZGlkIjoiZDdjOTY5OTdmZTMyN2Q2N2E4YTY5NjYyNjAwN2U5MDAiLCJ1c2VySWQiOiIxNDc5MTgxNTcyIn0=</vt:lpwstr>
  </property>
</Properties>
</file>