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ind w:firstLine="720" w:firstLineChars="200"/>
        <w:jc w:val="center"/>
        <w:textAlignment w:val="auto"/>
        <w:rPr>
          <w:rFonts w:hint="default" w:ascii="Times New Roman" w:hAnsi="Times New Roman" w:eastAsia="方正小标宋_GBK" w:cs="方正小标宋_GBK"/>
          <w:b w:val="0"/>
          <w:bCs w:val="0"/>
          <w:sz w:val="36"/>
          <w:szCs w:val="36"/>
          <w:lang w:val="en-US" w:eastAsia="zh-CN"/>
        </w:rPr>
      </w:pPr>
    </w:p>
    <w:p>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jc w:val="center"/>
        <w:textAlignment w:val="auto"/>
        <w:rPr>
          <w:rFonts w:hint="eastAsia" w:ascii="Times New Roman" w:hAnsi="Times New Roman" w:eastAsia="方正小标宋_GBK" w:cs="方正小标宋_GBK"/>
          <w:b w:val="0"/>
          <w:bCs w:val="0"/>
          <w:sz w:val="44"/>
          <w:szCs w:val="44"/>
        </w:rPr>
      </w:pPr>
      <w:r>
        <w:rPr>
          <w:rFonts w:hint="eastAsia" w:ascii="Times New Roman" w:hAnsi="Times New Roman" w:eastAsia="方正小标宋_GBK" w:cs="方正小标宋_GBK"/>
          <w:b w:val="0"/>
          <w:bCs w:val="0"/>
          <w:sz w:val="44"/>
          <w:szCs w:val="44"/>
        </w:rPr>
        <w:t>中国共产党巫溪县委员会办公室</w:t>
      </w:r>
    </w:p>
    <w:p>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jc w:val="center"/>
        <w:textAlignment w:val="auto"/>
        <w:rPr>
          <w:rFonts w:hint="default" w:ascii="Times New Roman" w:hAnsi="Times New Roman" w:eastAsia="方正小标宋_GBK" w:cs="方正小标宋_GBK"/>
          <w:b w:val="0"/>
          <w:bCs w:val="0"/>
          <w:sz w:val="44"/>
          <w:szCs w:val="44"/>
          <w:shd w:val="clear" w:color="auto" w:fill="FFFFFF"/>
        </w:rPr>
      </w:pPr>
      <w:r>
        <w:rPr>
          <w:rFonts w:hint="eastAsia" w:ascii="Times New Roman" w:hAnsi="Times New Roman" w:eastAsia="方正小标宋_GBK" w:cs="方正小标宋_GBK"/>
          <w:b w:val="0"/>
          <w:bCs w:val="0"/>
          <w:sz w:val="44"/>
          <w:szCs w:val="44"/>
          <w:shd w:val="clear" w:color="auto" w:fill="FFFFFF"/>
        </w:rPr>
        <w:t>2024年度决算公开说明</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textAlignment w:val="auto"/>
        <w:rPr>
          <w:rFonts w:hint="default" w:ascii="Times New Roman" w:hAnsi="Times New Roman"/>
          <w:sz w:val="27"/>
          <w:szCs w:val="27"/>
          <w:shd w:val="clear" w:color="auto" w:fill="FFFF00"/>
        </w:rPr>
      </w:pP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黑体_GBK" w:cs="方正黑体_GBK"/>
          <w:kern w:val="2"/>
          <w:sz w:val="32"/>
          <w:szCs w:val="32"/>
          <w:highlight w:val="none"/>
        </w:rPr>
      </w:pPr>
      <w:r>
        <w:rPr>
          <w:rFonts w:hint="eastAsia" w:ascii="Times New Roman" w:hAnsi="Times New Roman" w:eastAsia="方正黑体_GBK" w:cs="方正黑体_GBK"/>
          <w:kern w:val="2"/>
          <w:sz w:val="32"/>
          <w:szCs w:val="32"/>
          <w:highlight w:val="none"/>
        </w:rPr>
        <w:t>一、部门基本情况</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rPr>
      </w:pPr>
      <w:r>
        <w:rPr>
          <w:rFonts w:hint="eastAsia" w:ascii="Times New Roman" w:hAnsi="Times New Roman" w:eastAsia="方正楷体_GBK" w:cs="方正楷体_GBK"/>
          <w:kern w:val="2"/>
          <w:sz w:val="32"/>
          <w:szCs w:val="32"/>
          <w:highlight w:val="none"/>
        </w:rPr>
        <w:t>（一）职能职责</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县委办公室主要职能职责：</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围绕党的中心工作，协助县委抓好党的路线、方针、政策的贯彻落实和县委重大决策部署、重要工作的具体实施。</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负责督促检查中央、市委、县委重大决策部署、重要会议、重点工作的贯彻落实情况，承办、督办市委、县委领导指示、批示、交办事项，抓好重点事项的督查调研。</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贯彻落实党和国家关于密码工作的方针、政策、指示和决定；承担密码通信和内部传真通信工作；承担县密码工作领导小组日常工作。</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贯彻党和国家保密工作方针、政策及有关法律法规，全面执行党和国家关于保密工作的指示、决定；指导、协调、监督、检查各级各部门保密工作。</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指导全县规范性文件管理有关工作；承担县委和县委办公室文件送审稿的合法性审查工作。</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收集和处理全县各级各部门经济社会发展的重要信息，参与、督促对突发事件的处理，及时、准确地向市委和县委报告。</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组织实施党政专用通信业务网络建设工作，负责党政专用通信网络设备设施的维护、管理；负责使用单位的监督检查和督促整改；承担党政专用通信的日常服务保障工作。</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了解国际国内经济社会发展宏观动态和趋势，掌握全县政治、经济、社会、文化等方面的基本情况和动态，对全局性、战略性问题进行超前、系统的调查研究，为县委宏观决策提供依据；根据县委工作部署，研究拟定重大政策性文件，并组织对拟以县委名义出台的政策性文件的讨论和协调。</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负责县委的公文处理、文件材料印制、文件刊物改善及档案管理等工作，承担县级党政军机关与上级机关之间机要文件的传递任务；负责县委全委会、常委会、工作会、书记办公会等会议的会务组织、记录整理工作。</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负责统筹规划全县档案工作，牵头拟订并组织实施全县档案事业发展规划、档案信息化建设规划、档案工作人员队伍建设规划等工作；负责党政群机关、企事业单位档案行政管理，依法开展档案行政执法工作；负责全县档案法制建设。</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承担县委政务值班工作；负责接收、报送和传递重大突发事件、重要社情动态、重大险情、疫情以及其他紧急政务信息；负责接收和处理各类突发公共事件、紧急政务的电话、传真、电报、文件及电子邮件。</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负责县委的公务接待工作，联系安排县委领导同志的内外事活动，承办属于县委接待的各项工作。</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sectPr>
          <w:footerReference r:id="rId3" w:type="default"/>
          <w:pgSz w:w="11915" w:h="16840"/>
          <w:pgMar w:top="2154" w:right="1474" w:bottom="1474" w:left="1587" w:header="851" w:footer="992" w:gutter="0"/>
          <w:pgNumType w:fmt="decimal"/>
          <w:cols w:space="720" w:num="1"/>
          <w:docGrid w:type="lines" w:linePitch="312" w:charSpace="0"/>
        </w:sectPr>
      </w:pP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协调县委、县人大、县政府、县政协的有关活动和相关事务。</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完成县委交办的其他任务。</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县委调研信息中心主要职能职责：负责为县委提供宏观决策依据；根据全县经济社会发展战略和县委工作部署，围绕县委中心工作开展调查研究，收集和综合处理信息，提出对策建议；拟定重大政策性文件，调研了解落实情况，及时向县委反馈信息，总结推广典型经验和做法。</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rPr>
      </w:pPr>
      <w:r>
        <w:rPr>
          <w:rFonts w:hint="eastAsia" w:ascii="Times New Roman" w:hAnsi="Times New Roman" w:eastAsia="方正楷体_GBK" w:cs="方正楷体_GBK"/>
          <w:kern w:val="2"/>
          <w:sz w:val="32"/>
          <w:szCs w:val="32"/>
          <w:highlight w:val="none"/>
        </w:rPr>
        <w:t>（二）机构设置</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lang w:val="en-US" w:eastAsia="zh-CN"/>
        </w:rPr>
      </w:pPr>
      <w:r>
        <w:rPr>
          <w:rFonts w:hint="eastAsia" w:ascii="Times New Roman" w:hAnsi="Times New Roman" w:eastAsia="方正仿宋_GBK" w:cs="方正仿宋_GBK"/>
          <w:kern w:val="2"/>
          <w:sz w:val="32"/>
          <w:szCs w:val="32"/>
          <w:highlight w:val="none"/>
          <w:lang w:val="en-US" w:eastAsia="zh-CN"/>
        </w:rPr>
        <w:t>中共巫溪县委办公室是县委的综合部门，下设3个事业单位，即中共巫溪县委调研信息中心（本年度开始独立核算）、巫溪县保密技术保障中心（年末成立人员经费均为独立核算）、巫溪县档案馆（巫溪县档案馆为一级预算单位，人员、经费独立核算）。加挂中共巫溪县委保密委员会办公室（巫溪县国家保密局）、中共巫溪县委机要局（巫溪县密码管理局）、巫溪县档案局牌子。新设立中共巫溪县委全面深化改革委员会办公室（以下简称县委改革办），为县委工作机关，是中共巫溪县委全面深化改革委员会的办事机构，归口中共巫溪县委办公室管理，为正科级。</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lang w:val="en-US" w:eastAsia="zh-CN"/>
        </w:rPr>
        <w:t>县委办公室内设机构有：综合科、行政科、文秘一科、文秘二科、督查科、机要通信科、保密科、法规室、信息科、档案科、政务值班室、国家安全科共12个科室。</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lang w:val="en-US" w:eastAsia="zh-CN"/>
        </w:rPr>
        <w:t>县委改革办下设综合督查科、改革一科、改革二科等3个内设机构。</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黑体_GBK" w:cs="方正黑体_GBK"/>
          <w:kern w:val="2"/>
          <w:sz w:val="32"/>
          <w:szCs w:val="32"/>
          <w:highlight w:val="none"/>
        </w:rPr>
        <w:sectPr>
          <w:footerReference r:id="rId4" w:type="default"/>
          <w:pgSz w:w="11915" w:h="16840"/>
          <w:pgMar w:top="2154" w:right="1474" w:bottom="1474" w:left="1587" w:header="851" w:footer="992" w:gutter="0"/>
          <w:pgNumType w:fmt="decimal"/>
          <w:cols w:space="720" w:num="1"/>
          <w:docGrid w:type="lines" w:linePitch="312" w:charSpace="0"/>
        </w:sectPr>
      </w:pP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黑体_GBK" w:cs="方正黑体_GBK"/>
          <w:kern w:val="2"/>
          <w:sz w:val="32"/>
          <w:szCs w:val="32"/>
          <w:highlight w:val="none"/>
        </w:rPr>
      </w:pPr>
      <w:r>
        <w:rPr>
          <w:rFonts w:hint="eastAsia" w:ascii="Times New Roman" w:hAnsi="Times New Roman" w:eastAsia="方正黑体_GBK" w:cs="方正黑体_GBK"/>
          <w:kern w:val="2"/>
          <w:sz w:val="32"/>
          <w:szCs w:val="32"/>
          <w:highlight w:val="none"/>
        </w:rPr>
        <w:t>二、部门决算收支情况说明</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rPr>
      </w:pPr>
      <w:r>
        <w:rPr>
          <w:rFonts w:hint="eastAsia" w:ascii="Times New Roman" w:hAnsi="Times New Roman" w:eastAsia="方正楷体_GBK" w:cs="方正楷体_GBK"/>
          <w:kern w:val="2"/>
          <w:sz w:val="32"/>
          <w:szCs w:val="32"/>
          <w:highlight w:val="none"/>
        </w:rPr>
        <w:t>（一）收入支出决算总体情况说明</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3" w:firstLineChars="200"/>
        <w:jc w:val="both"/>
        <w:textAlignment w:val="auto"/>
        <w:rPr>
          <w:rFonts w:hint="eastAsia" w:ascii="Times New Roman" w:hAnsi="Times New Roman" w:eastAsia="方正仿宋_GBK" w:cs="方正仿宋_GBK"/>
          <w:kern w:val="2"/>
          <w:sz w:val="32"/>
          <w:szCs w:val="32"/>
          <w:highlight w:val="none"/>
          <w:lang w:val="en-US" w:eastAsia="zh-CN"/>
        </w:rPr>
      </w:pPr>
      <w:r>
        <w:rPr>
          <w:rFonts w:hint="eastAsia" w:ascii="Times New Roman" w:hAnsi="Times New Roman" w:eastAsia="方正仿宋_GBK" w:cs="方正仿宋_GBK"/>
          <w:b/>
          <w:bCs/>
          <w:kern w:val="2"/>
          <w:sz w:val="32"/>
          <w:szCs w:val="32"/>
          <w:highlight w:val="none"/>
          <w:lang w:val="en-US" w:eastAsia="zh-CN"/>
        </w:rPr>
        <w:t>1.总体情况</w:t>
      </w:r>
      <w:r>
        <w:rPr>
          <w:rFonts w:hint="eastAsia" w:ascii="Times New Roman" w:hAnsi="Times New Roman" w:eastAsia="方正仿宋_GBK" w:cs="方正仿宋_GBK"/>
          <w:kern w:val="2"/>
          <w:sz w:val="32"/>
          <w:szCs w:val="32"/>
          <w:highlight w:val="none"/>
          <w:lang w:val="en-US" w:eastAsia="zh-CN"/>
        </w:rPr>
        <w:t>。2024年度收入总计1694.35万元，支出总计1694.35万元。收、支与2023年度相比，增加233.53万元，增长16.0%，主要原因是2024年项目收入、支出比2023年增加信息创新工程部分尾款。</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3" w:firstLineChars="200"/>
        <w:jc w:val="both"/>
        <w:textAlignment w:val="auto"/>
        <w:rPr>
          <w:rFonts w:hint="default" w:ascii="Times New Roman" w:hAnsi="Times New Roman" w:eastAsia="方正仿宋_GBK" w:cs="方正仿宋_GBK"/>
          <w:kern w:val="2"/>
          <w:sz w:val="32"/>
          <w:szCs w:val="32"/>
          <w:highlight w:val="none"/>
          <w:lang w:val="en-US" w:eastAsia="zh-CN"/>
        </w:rPr>
      </w:pPr>
      <w:r>
        <w:rPr>
          <w:rFonts w:hint="eastAsia" w:ascii="Times New Roman" w:hAnsi="Times New Roman" w:eastAsia="方正仿宋_GBK" w:cs="方正仿宋_GBK"/>
          <w:b/>
          <w:bCs/>
          <w:kern w:val="2"/>
          <w:sz w:val="32"/>
          <w:szCs w:val="32"/>
          <w:highlight w:val="none"/>
          <w:lang w:val="en-US" w:eastAsia="zh-CN"/>
        </w:rPr>
        <w:t>2.收入情况</w:t>
      </w:r>
      <w:r>
        <w:rPr>
          <w:rFonts w:hint="eastAsia" w:ascii="Times New Roman" w:hAnsi="Times New Roman" w:eastAsia="方正仿宋_GBK" w:cs="方正仿宋_GBK"/>
          <w:kern w:val="2"/>
          <w:sz w:val="32"/>
          <w:szCs w:val="32"/>
          <w:highlight w:val="none"/>
          <w:lang w:val="en-US" w:eastAsia="zh-CN"/>
        </w:rPr>
        <w:t>。2024年度收入合计1694.35万元，与2023年度相比，增加233.53万元，增长16.0%，主要原因是2024年项目比2023年增加信息创新工程部分尾款项目收入。其中：财政拨款收入1694.35万元，占100.00%；事业收入0.00万元，占0.00%；经营收入0.00万元，占0.00%；其他收入0.00万元，占0.00%。此外，使用非财政拨款结余和专用结余0.00万元，年初结转和结余0.00万元。</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3" w:firstLineChars="200"/>
        <w:jc w:val="both"/>
        <w:textAlignment w:val="auto"/>
        <w:rPr>
          <w:rFonts w:hint="default" w:ascii="Times New Roman" w:hAnsi="Times New Roman" w:eastAsia="方正仿宋_GBK" w:cs="方正仿宋_GBK"/>
          <w:kern w:val="2"/>
          <w:sz w:val="32"/>
          <w:szCs w:val="32"/>
          <w:highlight w:val="none"/>
          <w:lang w:val="en-US" w:eastAsia="zh-CN"/>
        </w:rPr>
      </w:pPr>
      <w:r>
        <w:rPr>
          <w:rFonts w:hint="eastAsia" w:ascii="Times New Roman" w:hAnsi="Times New Roman" w:eastAsia="方正仿宋_GBK" w:cs="方正仿宋_GBK"/>
          <w:b/>
          <w:bCs/>
          <w:kern w:val="2"/>
          <w:sz w:val="32"/>
          <w:szCs w:val="32"/>
          <w:highlight w:val="none"/>
          <w:lang w:val="en-US" w:eastAsia="zh-CN"/>
        </w:rPr>
        <w:t>3.支出情况。</w:t>
      </w:r>
      <w:r>
        <w:rPr>
          <w:rFonts w:hint="eastAsia" w:ascii="Times New Roman" w:hAnsi="Times New Roman" w:eastAsia="方正仿宋_GBK" w:cs="方正仿宋_GBK"/>
          <w:kern w:val="2"/>
          <w:sz w:val="32"/>
          <w:szCs w:val="32"/>
          <w:highlight w:val="none"/>
          <w:lang w:val="en-US" w:eastAsia="zh-CN"/>
        </w:rPr>
        <w:t>2024年度支出合计1694.35万元，与2023年度相比，增加233.53万元，增长16.0%，主要原因是2024年项目支出比2023年增加信息创新工程部分尾款。其中：基本支出1048.12万元，占61.86%；项目支出646.23万元，占38.14%；经营支出0.00万元，占0.00%。此外，结余分配0.00万元。</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3" w:firstLineChars="2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kern w:val="2"/>
          <w:sz w:val="32"/>
          <w:szCs w:val="32"/>
          <w:highlight w:val="none"/>
          <w:lang w:val="en-US" w:eastAsia="zh-CN"/>
        </w:rPr>
        <w:t>4.结转结余情况。</w:t>
      </w:r>
      <w:r>
        <w:rPr>
          <w:rFonts w:hint="eastAsia" w:ascii="Times New Roman" w:hAnsi="Times New Roman" w:eastAsia="方正仿宋_GBK" w:cs="方正仿宋_GBK"/>
          <w:kern w:val="2"/>
          <w:sz w:val="32"/>
          <w:szCs w:val="32"/>
          <w:highlight w:val="none"/>
          <w:lang w:val="en-US" w:eastAsia="zh-CN"/>
        </w:rPr>
        <w:t>2024年度年末结转和结余0.00万元，与2023年度相比，无增减，主要原因是财政预算零结余。</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rPr>
      </w:pPr>
      <w:r>
        <w:rPr>
          <w:rFonts w:hint="eastAsia" w:ascii="Times New Roman" w:hAnsi="Times New Roman" w:eastAsia="方正楷体_GBK" w:cs="方正楷体_GBK"/>
          <w:kern w:val="2"/>
          <w:sz w:val="32"/>
          <w:szCs w:val="32"/>
          <w:highlight w:val="none"/>
        </w:rPr>
        <w:t>（二）财政拨款收入支出决算总体情况说明</w:t>
      </w:r>
    </w:p>
    <w:p>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kern w:val="2"/>
          <w:sz w:val="32"/>
          <w:szCs w:val="32"/>
          <w:highlight w:val="none"/>
          <w:lang w:val="en-US" w:eastAsia="zh-CN" w:bidi="ar-SA"/>
        </w:rPr>
        <w:t>2024年度财政拨款收、支总计1694.35万元。与2023年相比，财政拨款收、支总计各增加233.53万元，增长16.0%。主要原因是2024年项目收入、支出比2023年增加信息创新工程部分尾款。</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rPr>
      </w:pPr>
      <w:r>
        <w:rPr>
          <w:rFonts w:hint="eastAsia" w:ascii="Times New Roman" w:hAnsi="Times New Roman" w:eastAsia="方正楷体_GBK" w:cs="方正楷体_GBK"/>
          <w:kern w:val="2"/>
          <w:sz w:val="32"/>
          <w:szCs w:val="32"/>
          <w:highlight w:val="none"/>
        </w:rPr>
        <w:t>（三）一般公共预算财政拨款收入支出决算情况说明</w:t>
      </w:r>
    </w:p>
    <w:p>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b/>
          <w:bCs/>
          <w:kern w:val="2"/>
          <w:sz w:val="32"/>
          <w:szCs w:val="32"/>
          <w:highlight w:val="none"/>
          <w:lang w:val="en-US" w:eastAsia="zh-CN" w:bidi="ar-SA"/>
        </w:rPr>
        <w:t>1.收入情况。</w:t>
      </w:r>
      <w:r>
        <w:rPr>
          <w:rFonts w:hint="eastAsia" w:ascii="Times New Roman" w:hAnsi="Times New Roman" w:eastAsia="方正仿宋_GBK" w:cs="方正仿宋_GBK"/>
          <w:kern w:val="2"/>
          <w:sz w:val="32"/>
          <w:szCs w:val="32"/>
          <w:highlight w:val="none"/>
          <w:lang w:val="en-US" w:eastAsia="zh-CN" w:bidi="ar-SA"/>
        </w:rPr>
        <w:t>2024年度一般公共预算财政拨款收入1694.35万元，与2023年度相比，增加233.53万元，增长16.0%。主要原因是2024年项目比2023年增加信息创新工程部分尾款。较年初预算数增加358.22万元，增长26.8%。主要原因是年中增加信息创新工程部分尾款。此外，年初财政拨款结转和结余0.00万元。</w:t>
      </w:r>
    </w:p>
    <w:p>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b/>
          <w:bCs/>
          <w:kern w:val="2"/>
          <w:sz w:val="32"/>
          <w:szCs w:val="32"/>
          <w:highlight w:val="none"/>
          <w:lang w:val="en-US" w:eastAsia="zh-CN" w:bidi="ar-SA"/>
        </w:rPr>
        <w:t>2.支出情况。</w:t>
      </w:r>
      <w:r>
        <w:rPr>
          <w:rFonts w:hint="eastAsia" w:ascii="Times New Roman" w:hAnsi="Times New Roman" w:eastAsia="方正仿宋_GBK" w:cs="方正仿宋_GBK"/>
          <w:kern w:val="2"/>
          <w:sz w:val="32"/>
          <w:szCs w:val="32"/>
          <w:highlight w:val="none"/>
          <w:lang w:val="en-US" w:eastAsia="zh-CN" w:bidi="ar-SA"/>
        </w:rPr>
        <w:t>2024年度一般公共预算财政拨款支出1694.35万元，与2023年度相比，增加233.53万元，增长16.0%。主要原因是2024年项目支出比2023年增加信息创新工程部分尾款。较年初预算数增加358.22万元，增长26.8%。主要原因是增加信息创新工程部分尾款。</w:t>
      </w:r>
    </w:p>
    <w:p>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b/>
          <w:bCs/>
          <w:kern w:val="2"/>
          <w:sz w:val="32"/>
          <w:szCs w:val="32"/>
          <w:highlight w:val="none"/>
          <w:lang w:val="en-US" w:eastAsia="zh-CN" w:bidi="ar-SA"/>
        </w:rPr>
        <w:t>3.结转结余情况。</w:t>
      </w:r>
      <w:r>
        <w:rPr>
          <w:rFonts w:hint="eastAsia" w:ascii="Times New Roman" w:hAnsi="Times New Roman" w:eastAsia="方正仿宋_GBK" w:cs="方正仿宋_GBK"/>
          <w:kern w:val="2"/>
          <w:sz w:val="32"/>
          <w:szCs w:val="32"/>
          <w:highlight w:val="none"/>
          <w:lang w:val="en-US" w:eastAsia="zh-CN" w:bidi="ar-SA"/>
        </w:rPr>
        <w:t>2024年度年末一般公共预算财政拨款结转和结余0.00万元，与2023年度相比，无增减，主要原因是财政预算零结余。</w:t>
      </w:r>
    </w:p>
    <w:p>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b/>
          <w:bCs/>
          <w:kern w:val="2"/>
          <w:sz w:val="32"/>
          <w:szCs w:val="32"/>
          <w:highlight w:val="none"/>
          <w:lang w:val="en-US" w:eastAsia="zh-CN" w:bidi="ar-SA"/>
        </w:rPr>
        <w:t>4.比较情况。</w:t>
      </w:r>
      <w:r>
        <w:rPr>
          <w:rFonts w:hint="eastAsia" w:ascii="Times New Roman" w:hAnsi="Times New Roman" w:eastAsia="方正仿宋_GBK" w:cs="方正仿宋_GBK"/>
          <w:kern w:val="2"/>
          <w:sz w:val="32"/>
          <w:szCs w:val="32"/>
          <w:highlight w:val="none"/>
          <w:lang w:val="en-US" w:eastAsia="zh-CN" w:bidi="ar-SA"/>
        </w:rPr>
        <w:t>本部门2024年度一般公共预算财政拨款支出主要用于以下几个方面：</w:t>
      </w:r>
    </w:p>
    <w:p>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kern w:val="2"/>
          <w:sz w:val="32"/>
          <w:szCs w:val="32"/>
          <w:highlight w:val="none"/>
          <w:lang w:val="en-US" w:eastAsia="zh-CN" w:bidi="ar-SA"/>
        </w:rPr>
        <w:t>（1）一般公共服务支出1388.09万元，占81.92%，较年初预算数增加305.14万元，增长28.2%，主要原因是增加信息创新工程部分尾款支出。</w:t>
      </w:r>
    </w:p>
    <w:p>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kern w:val="2"/>
          <w:sz w:val="32"/>
          <w:szCs w:val="32"/>
          <w:highlight w:val="none"/>
          <w:lang w:val="en-US" w:eastAsia="zh-CN" w:bidi="ar-SA"/>
        </w:rPr>
        <w:t>（2）社会保障与就业支出204.09万元，占12.05%，较年初预算数增加52.07万元，增长34.3%，主要原因是追加2名退休职工死亡抚恤金、1名退休人员一次性退休补贴。</w:t>
      </w:r>
    </w:p>
    <w:p>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kern w:val="2"/>
          <w:sz w:val="32"/>
          <w:szCs w:val="32"/>
          <w:highlight w:val="none"/>
          <w:lang w:val="en-US" w:eastAsia="zh-CN" w:bidi="ar-SA"/>
        </w:rPr>
        <w:t>（3）卫生健康支出41.11万元，占2.43%，较年初预算数减少2.91万元，下降6.6%，主要原因是2024年度有调出县外职工和退休职工，另外资金剩余，指标回收。</w:t>
      </w:r>
    </w:p>
    <w:p>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kern w:val="2"/>
          <w:sz w:val="32"/>
          <w:szCs w:val="32"/>
          <w:highlight w:val="none"/>
          <w:lang w:val="en-US" w:eastAsia="zh-CN" w:bidi="ar-SA"/>
        </w:rPr>
        <w:t>（4）住房保障支出61.06万元，占3.60%，较年初预算数增加3.92万元，增长6.9%，主要原因是上年度剩余指标用于垫付下属事业单位调研信息中心住房公积金。</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rPr>
      </w:pPr>
      <w:r>
        <w:rPr>
          <w:rFonts w:hint="eastAsia" w:ascii="Times New Roman" w:hAnsi="Times New Roman" w:eastAsia="方正楷体_GBK" w:cs="方正楷体_GBK"/>
          <w:kern w:val="2"/>
          <w:sz w:val="32"/>
          <w:szCs w:val="32"/>
          <w:highlight w:val="none"/>
        </w:rPr>
        <w:t>（四）一般公共预算财政拨款基本支出决算情况说明</w:t>
      </w:r>
    </w:p>
    <w:p>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kern w:val="2"/>
          <w:sz w:val="32"/>
          <w:szCs w:val="32"/>
          <w:highlight w:val="none"/>
          <w:lang w:val="en-US" w:eastAsia="zh-CN" w:bidi="ar-SA"/>
        </w:rPr>
        <w:t>2024年度一般公共财政拨款基本支出1048.12万元。其中：人员经费950.65万元，与2023年度相比，增加23.26万元，增长2.5%，主要原因是本年度人员较上年度多5人，另外追加两名死亡人员死亡抚恤金、1名退休人员一次性退休补贴。人员经费用途主要包括基本工资、津贴补贴、奖金、绩效工资、社会保障缴费、住房公积金、离休费、抚恤金、离退人员补助等。公用经费97.47万元，与2023年度相比，减少25.07万元，下降20.5%，主要原因是年初预算时进行压减，落实过紧日子，减少单位非必要运行开支。公用经费用途主要包括办公费、印刷费、水电费、邮电费、差旅费、劳务费、交通费等。</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rPr>
      </w:pPr>
      <w:r>
        <w:rPr>
          <w:rFonts w:hint="eastAsia" w:ascii="Times New Roman" w:hAnsi="Times New Roman" w:eastAsia="方正楷体_GBK" w:cs="方正楷体_GBK"/>
          <w:kern w:val="2"/>
          <w:sz w:val="32"/>
          <w:szCs w:val="32"/>
          <w:highlight w:val="none"/>
        </w:rPr>
        <w:t>（五）政府性基金预算收支决算情况说明</w:t>
      </w:r>
    </w:p>
    <w:p>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方正仿宋_GBK" w:cs="方正仿宋_GBK"/>
          <w:kern w:val="2"/>
          <w:sz w:val="32"/>
          <w:szCs w:val="32"/>
          <w:highlight w:val="none"/>
          <w:lang w:val="en-US" w:eastAsia="zh-CN" w:bidi="ar-SA"/>
        </w:rPr>
        <w:t>本单位2024年度无政府性基金预算财政拨款收支</w:t>
      </w:r>
      <w:r>
        <w:rPr>
          <w:rFonts w:hint="eastAsia" w:ascii="Times New Roman" w:hAnsi="Times New Roman" w:eastAsia="仿宋_GB2312" w:cs="Times New Roman"/>
          <w:kern w:val="2"/>
          <w:sz w:val="32"/>
          <w:szCs w:val="32"/>
          <w:highlight w:val="none"/>
          <w:lang w:val="en-US" w:eastAsia="zh-CN" w:bidi="ar-SA"/>
        </w:rPr>
        <w:t>。</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rPr>
      </w:pPr>
      <w:r>
        <w:rPr>
          <w:rFonts w:hint="eastAsia" w:ascii="Times New Roman" w:hAnsi="Times New Roman" w:eastAsia="方正楷体_GBK" w:cs="方正楷体_GBK"/>
          <w:kern w:val="2"/>
          <w:sz w:val="32"/>
          <w:szCs w:val="32"/>
          <w:highlight w:val="none"/>
        </w:rPr>
        <w:t>（六）国有资本经营预算财政拨款支出决算情况说明</w:t>
      </w:r>
    </w:p>
    <w:p>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kern w:val="2"/>
          <w:sz w:val="32"/>
          <w:szCs w:val="32"/>
          <w:highlight w:val="none"/>
          <w:lang w:val="en-US" w:eastAsia="zh-CN" w:bidi="ar-SA"/>
        </w:rPr>
        <w:t>本单位2024年度无国有资本经营预算财政拨款支出。</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黑体_GBK" w:cs="方正黑体_GBK"/>
          <w:kern w:val="2"/>
          <w:sz w:val="32"/>
          <w:szCs w:val="32"/>
          <w:highlight w:val="none"/>
        </w:rPr>
      </w:pPr>
      <w:r>
        <w:rPr>
          <w:rFonts w:hint="eastAsia" w:ascii="Times New Roman" w:hAnsi="Times New Roman" w:eastAsia="方正黑体_GBK" w:cs="方正黑体_GBK"/>
          <w:kern w:val="2"/>
          <w:sz w:val="32"/>
          <w:szCs w:val="32"/>
          <w:highlight w:val="none"/>
        </w:rPr>
        <w:t>三、财政拨款“三公”经费情况说明</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rPr>
      </w:pPr>
      <w:r>
        <w:rPr>
          <w:rFonts w:hint="eastAsia" w:ascii="Times New Roman" w:hAnsi="Times New Roman" w:eastAsia="方正楷体_GBK" w:cs="方正楷体_GBK"/>
          <w:kern w:val="2"/>
          <w:sz w:val="32"/>
          <w:szCs w:val="32"/>
          <w:highlight w:val="none"/>
        </w:rPr>
        <w:t>（一）“三公”经费支出总体情况说明</w:t>
      </w:r>
    </w:p>
    <w:p>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kern w:val="2"/>
          <w:sz w:val="32"/>
          <w:szCs w:val="32"/>
          <w:highlight w:val="none"/>
          <w:lang w:val="en-US" w:eastAsia="zh-CN" w:bidi="ar-SA"/>
        </w:rPr>
        <w:t>2024年度“三公”经费支出共计28.15万元，较年初预算数减少5.70万元，下降16.8%，主要原因是强化公务用车管理，规范公务用车使用，严格执行公务接待相关规定。较上年支出数增加0.67万元，增长2.4%，主要原因是县委办办公室、县委调研信息中心两个单位产生接待费，县委调研信息中心上年度无预算，本年度来巫调研、检查、指导工作次数、人数、天数较多。</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rPr>
      </w:pPr>
      <w:r>
        <w:rPr>
          <w:rFonts w:hint="eastAsia" w:ascii="Times New Roman" w:hAnsi="Times New Roman" w:eastAsia="方正楷体_GBK" w:cs="方正楷体_GBK"/>
          <w:kern w:val="2"/>
          <w:sz w:val="32"/>
          <w:szCs w:val="32"/>
          <w:highlight w:val="none"/>
        </w:rPr>
        <w:t>（二）“三公”经费分项支出情况</w:t>
      </w:r>
    </w:p>
    <w:p>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kern w:val="2"/>
          <w:sz w:val="32"/>
          <w:szCs w:val="32"/>
          <w:highlight w:val="none"/>
          <w:lang w:val="en-US" w:eastAsia="zh-CN" w:bidi="ar-SA"/>
        </w:rPr>
        <w:t>2024年度本部门因公出国（境）费用0.00万元，费用支出较年初预算数无增减。与2023年度相比，无增减。</w:t>
      </w:r>
    </w:p>
    <w:p>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kern w:val="2"/>
          <w:sz w:val="32"/>
          <w:szCs w:val="32"/>
          <w:highlight w:val="none"/>
          <w:lang w:val="en-US" w:eastAsia="zh-CN" w:bidi="ar-SA"/>
        </w:rPr>
        <w:t>公务车购置费0.00万元，费用支出较年初预算数无增减。与2023年度相比，无增减。</w:t>
      </w:r>
    </w:p>
    <w:p>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kern w:val="2"/>
          <w:sz w:val="32"/>
          <w:szCs w:val="32"/>
          <w:highlight w:val="none"/>
          <w:lang w:val="en-US" w:eastAsia="zh-CN" w:bidi="ar-SA"/>
        </w:rPr>
        <w:t>公务车运行维护费25.75万元，主要用于机要文件交换、市内公务出行、县内检查督查等工作所需车辆的燃料费、维修费、通行费、保险费等。费用支出较年初预算数减少1.25万元，下降4.6%，主要原因是强化公务用车管理，规范公务用车使用。较上年支出数减少0.61万元，下降2.3%，主要原因是强化公务用车管理，规范公务用车使用。</w:t>
      </w:r>
    </w:p>
    <w:p>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kern w:val="2"/>
          <w:sz w:val="32"/>
          <w:szCs w:val="32"/>
          <w:highlight w:val="none"/>
          <w:lang w:val="en-US" w:eastAsia="zh-CN" w:bidi="ar-SA"/>
        </w:rPr>
        <w:t>公务接待费2.40万元，主要用于接待市委巡视组、市委国安办、重庆市专用通信局、市委机要局、武隆区委研究室、市委研究室、陕西省委研究室等来巫调研、检查、指导工作。费用支出较年初预算数减少4.45万元，下降65.0%，主要原因是严格执行公务接待相关规定。较上年支出数增加1.28万元，增长114.3%，主要原因是县委办办公室、县委调研信息中心两个单位产生接待费，县委调研信息中心上年度无预算，本年度来巫调研、检查、指导工作次数、人数、天数较多。</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rPr>
      </w:pPr>
      <w:r>
        <w:rPr>
          <w:rFonts w:hint="eastAsia" w:ascii="Times New Roman" w:hAnsi="Times New Roman" w:eastAsia="方正楷体_GBK" w:cs="方正楷体_GBK"/>
          <w:kern w:val="2"/>
          <w:sz w:val="32"/>
          <w:szCs w:val="32"/>
          <w:highlight w:val="none"/>
        </w:rPr>
        <w:t>（三）“三公”经费实物量情况</w:t>
      </w:r>
    </w:p>
    <w:p>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kern w:val="2"/>
          <w:sz w:val="32"/>
          <w:szCs w:val="32"/>
          <w:highlight w:val="none"/>
          <w:lang w:val="en-US" w:eastAsia="zh-CN" w:bidi="ar-SA"/>
        </w:rPr>
        <w:t>2024年度本部门因公出国（境）共计0个团组，0人；公务用车购置0辆，公务车保有量为7辆；国内公务接待8批次175人，其中：国内外事接待0批次，0人；国（境）外公务接待0批次，0人。2024年本部门人均接待费136.87元，车均购置费0万元，车均维护费3.68万元。</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黑体_GBK" w:cs="方正黑体_GBK"/>
          <w:kern w:val="2"/>
          <w:sz w:val="32"/>
          <w:szCs w:val="32"/>
          <w:highlight w:val="none"/>
        </w:rPr>
      </w:pPr>
      <w:r>
        <w:rPr>
          <w:rFonts w:hint="eastAsia" w:ascii="Times New Roman" w:hAnsi="Times New Roman" w:eastAsia="方正黑体_GBK" w:cs="方正黑体_GBK"/>
          <w:b w:val="0"/>
          <w:bCs w:val="0"/>
          <w:sz w:val="32"/>
          <w:szCs w:val="32"/>
          <w:shd w:val="clear" w:color="auto" w:fill="FFFFFF"/>
        </w:rPr>
        <w:t>四、其他需要说明的事项</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rPr>
      </w:pPr>
      <w:r>
        <w:rPr>
          <w:rFonts w:hint="eastAsia" w:ascii="Times New Roman" w:hAnsi="Times New Roman" w:eastAsia="方正楷体_GBK" w:cs="方正楷体_GBK"/>
          <w:kern w:val="2"/>
          <w:sz w:val="32"/>
          <w:szCs w:val="32"/>
          <w:highlight w:val="none"/>
        </w:rPr>
        <w:t>（一）财政拨款会议费和培训费情况说明</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kern w:val="2"/>
          <w:sz w:val="32"/>
          <w:szCs w:val="32"/>
          <w:highlight w:val="none"/>
          <w:lang w:val="en-US" w:eastAsia="zh-CN" w:bidi="ar-SA"/>
        </w:rPr>
        <w:t>本年度会议费支出37.11万元，与2023年度相比，减少11.86万元，下降24.2%，主要原因是落实基层减负，能合并的合并、能套开的套开，严控各类会议召开。本年度培训费支出4.35万元，与2023年度相比，增加3.11万元，增长250.8%，主要原因是新成立的县委改革办举办数字重庆建设业务骨干实务操作集中培训。</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rPr>
      </w:pPr>
      <w:r>
        <w:rPr>
          <w:rFonts w:hint="eastAsia" w:ascii="Times New Roman" w:hAnsi="Times New Roman" w:eastAsia="方正楷体_GBK" w:cs="方正楷体_GBK"/>
          <w:kern w:val="2"/>
          <w:sz w:val="32"/>
          <w:szCs w:val="32"/>
          <w:highlight w:val="none"/>
        </w:rPr>
        <w:t>（二）机关运行经费情况说明</w:t>
      </w:r>
    </w:p>
    <w:p>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FF0000"/>
          <w:sz w:val="32"/>
          <w:szCs w:val="32"/>
          <w:lang w:val="en-US"/>
        </w:rPr>
      </w:pPr>
      <w:r>
        <w:rPr>
          <w:rFonts w:hint="eastAsia" w:ascii="Times New Roman" w:hAnsi="Times New Roman" w:eastAsia="方正仿宋_GBK" w:cs="方正仿宋_GBK"/>
          <w:kern w:val="2"/>
          <w:sz w:val="32"/>
          <w:szCs w:val="32"/>
          <w:highlight w:val="none"/>
          <w:lang w:val="en-US" w:eastAsia="zh-CN" w:bidi="ar-SA"/>
        </w:rPr>
        <w:t>2024年度本部门机关运行经费支出77.28万元，机关运行经费主要用于开支办公费、印刷费、水费、电费、邮电费、差旅费、劳务费、交通费、公务用车运行维护费等。机关运行经费较上年支出数减少45.26万元，下降36.9%，主要原因是下设事业单位中共巫溪县委调研信息中心在2024年度独立核算，不计入统计范围。</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rPr>
      </w:pPr>
      <w:r>
        <w:rPr>
          <w:rFonts w:hint="eastAsia" w:ascii="Times New Roman" w:hAnsi="Times New Roman" w:eastAsia="方正楷体_GBK" w:cs="方正楷体_GBK"/>
          <w:kern w:val="2"/>
          <w:sz w:val="32"/>
          <w:szCs w:val="32"/>
          <w:highlight w:val="none"/>
        </w:rPr>
        <w:t>（三）国有资产占用情况说明</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FF0000"/>
          <w:sz w:val="32"/>
          <w:szCs w:val="32"/>
        </w:rPr>
      </w:pPr>
      <w:r>
        <w:rPr>
          <w:rFonts w:hint="eastAsia" w:ascii="Times New Roman" w:hAnsi="Times New Roman" w:eastAsia="方正仿宋_GBK" w:cs="方正仿宋_GBK"/>
          <w:kern w:val="2"/>
          <w:sz w:val="32"/>
          <w:szCs w:val="32"/>
          <w:highlight w:val="none"/>
          <w:lang w:val="en-US" w:eastAsia="zh-CN" w:bidi="ar-SA"/>
        </w:rPr>
        <w:t>截至2024年12月31日，本部门共有车辆8辆，其中，副部（省）级及以上领导用车0辆、主要负责人用车1辆、机要通信用车1辆、应急保障用车6辆、执法执勤用车0辆，特种专业技术用车0辆，离退休干部用车0辆。单价100万元（含）以上专用设备5台（套）。</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rPr>
      </w:pPr>
      <w:r>
        <w:rPr>
          <w:rFonts w:hint="eastAsia" w:ascii="Times New Roman" w:hAnsi="Times New Roman" w:eastAsia="方正楷体_GBK" w:cs="方正楷体_GBK"/>
          <w:kern w:val="2"/>
          <w:sz w:val="32"/>
          <w:szCs w:val="32"/>
          <w:highlight w:val="none"/>
        </w:rPr>
        <w:t>（四）政府采购支出情况说明</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hint="eastAsia" w:ascii="Times New Roman" w:hAnsi="Times New Roman" w:eastAsia="方正仿宋_GBK" w:cs="方正仿宋_GBK"/>
          <w:kern w:val="2"/>
          <w:sz w:val="32"/>
          <w:szCs w:val="32"/>
          <w:highlight w:val="none"/>
          <w:lang w:val="en-US" w:eastAsia="zh-CN" w:bidi="ar-SA"/>
        </w:rPr>
        <w:t>2024年度本部门政府采购支出总额5.02万元，其中：政府采购货物支出5.02万元、政府采购工程支出0.00万元、政府采购服务支出0.00万元。授予中小企业合同金额5.02万元，占政府采购支出总额的100.00%，其中：授予小微企业合同金额5.02万元，占政府采购支出总额的100.00 %。主要用于采购打印机、办公电脑、空调、打印纸等。</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黑体_GBK" w:cs="方正黑体_GBK"/>
          <w:kern w:val="2"/>
          <w:sz w:val="32"/>
          <w:szCs w:val="32"/>
          <w:highlight w:val="none"/>
          <w:lang w:val="en-US" w:eastAsia="zh-CN"/>
        </w:rPr>
      </w:pPr>
      <w:r>
        <w:rPr>
          <w:rFonts w:hint="eastAsia" w:ascii="Times New Roman" w:hAnsi="Times New Roman" w:eastAsia="方正黑体_GBK" w:cs="方正黑体_GBK"/>
          <w:kern w:val="2"/>
          <w:sz w:val="32"/>
          <w:szCs w:val="32"/>
          <w:highlight w:val="none"/>
          <w:lang w:val="en-US" w:eastAsia="zh-CN"/>
        </w:rPr>
        <w:t>五、2024年度预算绩效管理情况说明</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rPr>
      </w:pPr>
      <w:r>
        <w:rPr>
          <w:rFonts w:hint="eastAsia" w:ascii="Times New Roman" w:hAnsi="Times New Roman" w:eastAsia="方正楷体_GBK" w:cs="方正楷体_GBK"/>
          <w:kern w:val="2"/>
          <w:sz w:val="32"/>
          <w:szCs w:val="32"/>
          <w:highlight w:val="none"/>
        </w:rPr>
        <w:t>（一）单位自评情况</w:t>
      </w:r>
    </w:p>
    <w:p>
      <w:pPr>
        <w:pStyle w:val="11"/>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4" w:lineRule="exact"/>
        <w:ind w:firstLine="640" w:firstLineChars="200"/>
        <w:jc w:val="left"/>
        <w:textAlignment w:val="auto"/>
        <w:rPr>
          <w:rFonts w:hint="eastAsia"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kern w:val="2"/>
          <w:sz w:val="32"/>
          <w:szCs w:val="32"/>
          <w:highlight w:val="none"/>
          <w:lang w:val="en-US" w:eastAsia="zh-CN" w:bidi="ar-SA"/>
        </w:rPr>
        <w:t>根据预算绩效管理要求，我单位对1个一级项目、14个二级项目开展了绩效自评，涉及财政拨款项目支出资金</w:t>
      </w:r>
      <w:r>
        <w:rPr>
          <w:rFonts w:hint="default" w:ascii="Times New Roman" w:hAnsi="Times New Roman" w:eastAsia="方正仿宋_GBK" w:cs="方正仿宋_GBK"/>
          <w:kern w:val="2"/>
          <w:sz w:val="32"/>
          <w:szCs w:val="32"/>
          <w:highlight w:val="none"/>
          <w:lang w:val="en-US" w:eastAsia="zh-CN" w:bidi="ar-SA"/>
        </w:rPr>
        <w:t>646.23</w:t>
      </w:r>
      <w:r>
        <w:rPr>
          <w:rFonts w:hint="eastAsia" w:ascii="Times New Roman" w:hAnsi="Times New Roman" w:eastAsia="方正仿宋_GBK" w:cs="方正仿宋_GBK"/>
          <w:kern w:val="2"/>
          <w:sz w:val="32"/>
          <w:szCs w:val="32"/>
          <w:highlight w:val="none"/>
          <w:lang w:val="en-US" w:eastAsia="zh-CN" w:bidi="ar-SA"/>
        </w:rPr>
        <w:t>万元。</w:t>
      </w:r>
    </w:p>
    <w:tbl>
      <w:tblPr>
        <w:tblStyle w:val="7"/>
        <w:tblW w:w="558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51"/>
        <w:gridCol w:w="221"/>
        <w:gridCol w:w="300"/>
        <w:gridCol w:w="1231"/>
        <w:gridCol w:w="548"/>
        <w:gridCol w:w="797"/>
        <w:gridCol w:w="863"/>
        <w:gridCol w:w="987"/>
        <w:gridCol w:w="672"/>
        <w:gridCol w:w="672"/>
        <w:gridCol w:w="920"/>
        <w:gridCol w:w="1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9931"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微软雅黑" w:cs="微软雅黑"/>
                <w:b/>
                <w:i w:val="0"/>
                <w:color w:val="000000"/>
                <w:sz w:val="40"/>
                <w:szCs w:val="40"/>
                <w:u w:val="none"/>
              </w:rPr>
            </w:pPr>
            <w:r>
              <w:rPr>
                <w:rFonts w:hint="eastAsia" w:ascii="Times New Roman" w:hAnsi="Times New Roman" w:eastAsia="方正小标宋_GBK" w:cs="方正小标宋_GBK"/>
                <w:i w:val="0"/>
                <w:color w:val="000000"/>
                <w:kern w:val="0"/>
                <w:sz w:val="32"/>
                <w:szCs w:val="32"/>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931"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Times New Roman" w:hAnsi="Times New Roman" w:eastAsia="宋体" w:cs="宋体"/>
                <w:b/>
                <w:i w:val="0"/>
                <w:color w:val="DA323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项目名称：</w:t>
            </w:r>
          </w:p>
        </w:tc>
        <w:tc>
          <w:tcPr>
            <w:tcW w:w="17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中国共产党巫溪县委员会办公室整体自评</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项目编码：</w:t>
            </w:r>
          </w:p>
        </w:tc>
        <w:tc>
          <w:tcPr>
            <w:tcW w:w="1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50023800024P000102</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自评总分：</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100.00</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项目主管部门：</w:t>
            </w:r>
          </w:p>
        </w:tc>
        <w:tc>
          <w:tcPr>
            <w:tcW w:w="17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001-中国共产党巫溪县委员会办公室</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财政归口处室：</w:t>
            </w:r>
          </w:p>
        </w:tc>
        <w:tc>
          <w:tcPr>
            <w:tcW w:w="1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005-行财科</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部门联系人：</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卢小奉</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联系电话：</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931"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黑体_GBK" w:cs="方正黑体_GBK"/>
                <w:i w:val="0"/>
                <w:color w:val="000000"/>
                <w:kern w:val="0"/>
                <w:sz w:val="21"/>
                <w:szCs w:val="21"/>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年初预算数</w:t>
            </w:r>
          </w:p>
        </w:tc>
        <w:tc>
          <w:tcPr>
            <w:tcW w:w="1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bookmarkStart w:id="0" w:name="_GoBack"/>
            <w:bookmarkEnd w:id="0"/>
            <w:r>
              <w:rPr>
                <w:rFonts w:hint="eastAsia" w:ascii="Times New Roman" w:hAnsi="Times New Roman" w:eastAsia="方正仿宋_GBK" w:cs="方正仿宋_GBK"/>
                <w:i w:val="0"/>
                <w:color w:val="000000"/>
                <w:kern w:val="0"/>
                <w:sz w:val="21"/>
                <w:szCs w:val="21"/>
                <w:u w:val="none"/>
                <w:lang w:val="en-US" w:eastAsia="zh-CN" w:bidi="ar"/>
              </w:rPr>
              <w:t>全年（调整）预算数</w:t>
            </w:r>
          </w:p>
        </w:tc>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10"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全年执行数</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执行率</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执行率权重</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年度总金额</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eastAsia" w:ascii="Times New Roman" w:hAnsi="Times New Roman" w:eastAsia="宋体" w:cs="宋体"/>
                <w:i w:val="0"/>
                <w:color w:val="000000"/>
                <w:kern w:val="0"/>
                <w:sz w:val="22"/>
                <w:szCs w:val="22"/>
                <w:u w:val="none"/>
                <w:lang w:val="en-US" w:eastAsia="zh-CN" w:bidi="ar"/>
              </w:rPr>
              <w:t xml:space="preserve">13,361,283.91 </w:t>
            </w:r>
          </w:p>
        </w:tc>
        <w:tc>
          <w:tcPr>
            <w:tcW w:w="1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eastAsia" w:ascii="Times New Roman" w:hAnsi="Times New Roman" w:eastAsia="宋体" w:cs="宋体"/>
                <w:i w:val="0"/>
                <w:color w:val="000000"/>
                <w:kern w:val="0"/>
                <w:sz w:val="22"/>
                <w:szCs w:val="22"/>
                <w:u w:val="none"/>
                <w:lang w:val="en-US" w:eastAsia="zh-CN" w:bidi="ar"/>
              </w:rPr>
              <w:t xml:space="preserve">16,943,494.06 </w:t>
            </w:r>
          </w:p>
        </w:tc>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eastAsia" w:ascii="Times New Roman" w:hAnsi="Times New Roman" w:eastAsia="宋体" w:cs="宋体"/>
                <w:i w:val="0"/>
                <w:color w:val="000000"/>
                <w:kern w:val="0"/>
                <w:sz w:val="22"/>
                <w:szCs w:val="22"/>
                <w:u w:val="none"/>
                <w:lang w:val="en-US" w:eastAsia="zh-CN" w:bidi="ar"/>
              </w:rPr>
              <w:t xml:space="preserve">16,943,494.06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其中：财政拨款</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eastAsia" w:ascii="Times New Roman" w:hAnsi="Times New Roman" w:eastAsia="宋体" w:cs="宋体"/>
                <w:i w:val="0"/>
                <w:color w:val="000000"/>
                <w:kern w:val="0"/>
                <w:sz w:val="22"/>
                <w:szCs w:val="22"/>
                <w:u w:val="none"/>
                <w:lang w:val="en-US" w:eastAsia="zh-CN" w:bidi="ar"/>
              </w:rPr>
              <w:t xml:space="preserve">13,361,283.91 </w:t>
            </w:r>
          </w:p>
        </w:tc>
        <w:tc>
          <w:tcPr>
            <w:tcW w:w="1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eastAsia" w:ascii="Times New Roman" w:hAnsi="Times New Roman" w:eastAsia="宋体" w:cs="宋体"/>
                <w:i w:val="0"/>
                <w:color w:val="000000"/>
                <w:kern w:val="0"/>
                <w:sz w:val="22"/>
                <w:szCs w:val="22"/>
                <w:u w:val="none"/>
                <w:lang w:val="en-US" w:eastAsia="zh-CN" w:bidi="ar"/>
              </w:rPr>
              <w:t xml:space="preserve">16,943,494.06 </w:t>
            </w:r>
          </w:p>
        </w:tc>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eastAsia" w:ascii="Times New Roman" w:hAnsi="Times New Roman" w:eastAsia="宋体" w:cs="宋体"/>
                <w:i w:val="0"/>
                <w:color w:val="000000"/>
                <w:kern w:val="0"/>
                <w:sz w:val="22"/>
                <w:szCs w:val="22"/>
                <w:u w:val="none"/>
                <w:lang w:val="en-US" w:eastAsia="zh-CN" w:bidi="ar"/>
              </w:rPr>
              <w:t xml:space="preserve">16,943,494.06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eastAsia" w:ascii="Times New Roman" w:hAnsi="Times New Roman" w:eastAsia="宋体" w:cs="宋体"/>
                <w:i w:val="0"/>
                <w:color w:val="000000"/>
                <w:kern w:val="0"/>
                <w:sz w:val="22"/>
                <w:szCs w:val="22"/>
                <w:u w:val="none"/>
                <w:lang w:val="en-US" w:eastAsia="zh-CN" w:bidi="ar"/>
              </w:rPr>
              <w:t>100</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eastAsia" w:ascii="Times New Roman" w:hAnsi="Times New Roman" w:eastAsia="宋体" w:cs="宋体"/>
                <w:i w:val="0"/>
                <w:color w:val="000000"/>
                <w:kern w:val="0"/>
                <w:sz w:val="22"/>
                <w:szCs w:val="22"/>
                <w:u w:val="none"/>
                <w:lang w:val="en-US" w:eastAsia="zh-CN" w:bidi="ar"/>
              </w:rPr>
              <w:t>10.00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eastAsia" w:ascii="Times New Roman" w:hAnsi="Times New Roman"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一般公共预算</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eastAsia" w:ascii="Times New Roman" w:hAnsi="Times New Roman" w:eastAsia="宋体" w:cs="宋体"/>
                <w:i w:val="0"/>
                <w:color w:val="000000"/>
                <w:kern w:val="0"/>
                <w:sz w:val="22"/>
                <w:szCs w:val="22"/>
                <w:u w:val="none"/>
                <w:lang w:val="en-US" w:eastAsia="zh-CN" w:bidi="ar"/>
              </w:rPr>
              <w:t xml:space="preserve">13,361,283.91 </w:t>
            </w:r>
          </w:p>
        </w:tc>
        <w:tc>
          <w:tcPr>
            <w:tcW w:w="1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eastAsia" w:ascii="Times New Roman" w:hAnsi="Times New Roman" w:eastAsia="宋体" w:cs="宋体"/>
                <w:i w:val="0"/>
                <w:color w:val="000000"/>
                <w:kern w:val="0"/>
                <w:sz w:val="22"/>
                <w:szCs w:val="22"/>
                <w:u w:val="none"/>
                <w:lang w:val="en-US" w:eastAsia="zh-CN" w:bidi="ar"/>
              </w:rPr>
              <w:t xml:space="preserve">16,943,494.06 </w:t>
            </w:r>
          </w:p>
        </w:tc>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eastAsia" w:ascii="Times New Roman" w:hAnsi="Times New Roman" w:eastAsia="宋体" w:cs="宋体"/>
                <w:i w:val="0"/>
                <w:color w:val="000000"/>
                <w:kern w:val="0"/>
                <w:sz w:val="22"/>
                <w:szCs w:val="22"/>
                <w:u w:val="none"/>
                <w:lang w:val="en-US" w:eastAsia="zh-CN" w:bidi="ar"/>
              </w:rPr>
              <w:t xml:space="preserve">16,943,494.06 </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eastAsia" w:ascii="Times New Roman" w:hAnsi="Times New Roman" w:eastAsia="宋体" w:cs="宋体"/>
                <w:i w:val="0"/>
                <w:color w:val="000000"/>
                <w:kern w:val="0"/>
                <w:sz w:val="22"/>
                <w:szCs w:val="22"/>
                <w:u w:val="none"/>
                <w:lang w:val="en-US" w:eastAsia="zh-CN" w:bidi="ar"/>
              </w:rPr>
              <w:t>100</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931"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黑体_GBK" w:cs="方正黑体_GBK"/>
                <w:i w:val="0"/>
                <w:color w:val="000000"/>
                <w:kern w:val="0"/>
                <w:sz w:val="21"/>
                <w:szCs w:val="21"/>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年初绩效目标</w:t>
            </w:r>
          </w:p>
        </w:tc>
        <w:tc>
          <w:tcPr>
            <w:tcW w:w="33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全年（调整）绩效目标</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trPr>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部门预决算按时公开率达到100%；全年预算支出执行率达到95%以上；三季度预算执行进度达到60%以上；突发事件处置率达到100%；起草审核重要文稿达到1000篇以上；县委主要领导批示、交办事项督查督办率达到100%；上报信息量达到1000条以上；公文运转准确率达到99.99%以上；县委机关通讯保障率达到100%；保密工作检查率达到100%；国家安全工作专项检查率达到100%。</w:t>
            </w:r>
          </w:p>
        </w:tc>
        <w:tc>
          <w:tcPr>
            <w:tcW w:w="33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部门预决算按时公开率达到100%；全年预算支出执行率达到95%以上；三季度预算执行进度达到60%以上；突发事件处置率达到100%；起草审核重要文稿达到1000篇以上；县委主要领导批示、交办事项督查督办率达到100%；上报信息量达到1000条以上；公文运转准确率达到99.99%以上；县委机关通讯保障率达到100%；保密工作检查率达到100%；国家安全工作专项检查率达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931"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黑体_GBK" w:cs="方正黑体_GBK"/>
                <w:i w:val="0"/>
                <w:color w:val="000000"/>
                <w:kern w:val="0"/>
                <w:sz w:val="21"/>
                <w:szCs w:val="21"/>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指标名称</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计量单位</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指标性质</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指标值</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全年完成值</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偏离度（%）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得分系数（%）</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指标权重</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指标得分</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是否核心指标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起草审核重要文稿</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篇</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1000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0</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上报信息条数</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条</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1100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1620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47.27</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高度重视信息工作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保密工作检查率</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0</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是</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县委主要领导批示、交办事项督查督办率</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0</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15</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是</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部门预决算按时公开率</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0</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否</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公文运转率</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99.99</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99.99</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0</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是</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国家安全知识知晓率</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0</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是</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突发事件处置率</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0</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15</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是</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县领导、群众满意度</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98</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98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0</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kern w:val="0"/>
                <w:sz w:val="21"/>
                <w:szCs w:val="21"/>
                <w:u w:val="none"/>
                <w:lang w:val="en-US" w:eastAsia="zh-CN" w:bidi="ar"/>
              </w:rPr>
            </w:pPr>
            <w:r>
              <w:rPr>
                <w:rFonts w:hint="eastAsia" w:ascii="Times New Roman" w:hAnsi="Times New Roman" w:eastAsia="方正仿宋_GBK" w:cs="方正仿宋_GBK"/>
                <w:i w:val="0"/>
                <w:color w:val="000000"/>
                <w:kern w:val="0"/>
                <w:sz w:val="21"/>
                <w:szCs w:val="21"/>
                <w:u w:val="none"/>
                <w:lang w:val="en-US" w:eastAsia="zh-CN" w:bidi="ar"/>
              </w:rPr>
              <w:t>否</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Times New Roman" w:hAnsi="Times New Roman" w:eastAsia="方正仿宋_GBK" w:cs="方正仿宋_GBK"/>
                <w:i w:val="0"/>
                <w:color w:val="000000"/>
                <w:kern w:val="0"/>
                <w:sz w:val="21"/>
                <w:szCs w:val="21"/>
                <w:u w:val="none"/>
                <w:lang w:val="en-US" w:eastAsia="zh-CN" w:bidi="ar"/>
              </w:rPr>
            </w:pPr>
          </w:p>
        </w:tc>
      </w:tr>
    </w:tbl>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rPr>
      </w:pPr>
      <w:r>
        <w:rPr>
          <w:rFonts w:hint="eastAsia" w:ascii="Times New Roman" w:hAnsi="Times New Roman" w:eastAsia="方正楷体_GBK" w:cs="方正楷体_GBK"/>
          <w:kern w:val="2"/>
          <w:sz w:val="32"/>
          <w:szCs w:val="32"/>
          <w:highlight w:val="none"/>
        </w:rPr>
        <w:t>（二）部门绩效评价情况</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kern w:val="2"/>
          <w:sz w:val="32"/>
          <w:szCs w:val="32"/>
          <w:highlight w:val="none"/>
          <w:lang w:val="en-US" w:eastAsia="zh-CN" w:bidi="ar-SA"/>
        </w:rPr>
        <w:t>我单位未组织开展绩效评价。</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rPr>
      </w:pPr>
      <w:r>
        <w:rPr>
          <w:rFonts w:hint="eastAsia" w:ascii="Times New Roman" w:hAnsi="Times New Roman" w:eastAsia="方正楷体_GBK" w:cs="方正楷体_GBK"/>
          <w:kern w:val="2"/>
          <w:sz w:val="32"/>
          <w:szCs w:val="32"/>
          <w:highlight w:val="none"/>
          <w:lang w:val="en-US" w:eastAsia="zh-CN"/>
        </w:rPr>
        <w:t>（三）财政绩效评价情况</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仿宋_GBK" w:cs="方正仿宋_GBK"/>
          <w:kern w:val="2"/>
          <w:sz w:val="32"/>
          <w:szCs w:val="32"/>
          <w:highlight w:val="none"/>
          <w:lang w:val="en-US" w:eastAsia="zh-CN" w:bidi="ar-SA"/>
        </w:rPr>
      </w:pPr>
      <w:r>
        <w:rPr>
          <w:rFonts w:hint="default" w:ascii="Times New Roman" w:hAnsi="Times New Roman" w:eastAsia="方正仿宋_GBK" w:cs="方正仿宋_GBK"/>
          <w:kern w:val="2"/>
          <w:sz w:val="32"/>
          <w:szCs w:val="32"/>
          <w:highlight w:val="none"/>
          <w:lang w:val="en-US" w:eastAsia="zh-CN" w:bidi="ar-SA"/>
        </w:rPr>
        <w:t>县财政局未委托第三方对我单位开展绩效评价</w:t>
      </w:r>
      <w:r>
        <w:rPr>
          <w:rFonts w:hint="eastAsia" w:ascii="Times New Roman" w:hAnsi="Times New Roman" w:eastAsia="方正仿宋_GBK" w:cs="方正仿宋_GBK"/>
          <w:kern w:val="2"/>
          <w:sz w:val="32"/>
          <w:szCs w:val="32"/>
          <w:highlight w:val="none"/>
          <w:lang w:val="en-US" w:eastAsia="zh-CN" w:bidi="ar-SA"/>
        </w:rPr>
        <w:t>。</w:t>
      </w:r>
    </w:p>
    <w:p>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黑体_GBK" w:cs="方正黑体_GBK"/>
          <w:kern w:val="2"/>
          <w:sz w:val="32"/>
          <w:szCs w:val="32"/>
          <w:highlight w:val="none"/>
          <w:lang w:val="en-US" w:eastAsia="zh-CN"/>
        </w:rPr>
      </w:pPr>
      <w:r>
        <w:rPr>
          <w:rFonts w:hint="eastAsia" w:ascii="Times New Roman" w:hAnsi="Times New Roman" w:eastAsia="方正黑体_GBK" w:cs="方正黑体_GBK"/>
          <w:kern w:val="2"/>
          <w:sz w:val="32"/>
          <w:szCs w:val="32"/>
          <w:highlight w:val="none"/>
          <w:lang w:val="en-US" w:eastAsia="zh-CN"/>
        </w:rPr>
        <w:t>六、专业名词解释</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eastAsia"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b/>
          <w:bCs/>
          <w:kern w:val="2"/>
          <w:sz w:val="32"/>
          <w:szCs w:val="32"/>
          <w:highlight w:val="none"/>
          <w:lang w:val="en-US" w:eastAsia="zh-CN" w:bidi="ar-SA"/>
        </w:rPr>
        <w:t>（一）财政拨款收入：</w:t>
      </w:r>
      <w:r>
        <w:rPr>
          <w:rFonts w:hint="eastAsia" w:ascii="Times New Roman" w:hAnsi="Times New Roman" w:eastAsia="方正仿宋_GBK" w:cs="方正仿宋_GBK"/>
          <w:kern w:val="2"/>
          <w:sz w:val="32"/>
          <w:szCs w:val="32"/>
          <w:highlight w:val="none"/>
          <w:lang w:val="en-US" w:eastAsia="zh-CN" w:bidi="ar-SA"/>
        </w:rPr>
        <w:t>指本年度从本级财政部门取得的财政拨款，包括一般公共预算财政拨款和政府性基金预算财政拨款。</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eastAsia"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b/>
          <w:bCs/>
          <w:kern w:val="2"/>
          <w:sz w:val="32"/>
          <w:szCs w:val="32"/>
          <w:highlight w:val="none"/>
          <w:lang w:val="en-US" w:eastAsia="zh-CN" w:bidi="ar-SA"/>
        </w:rPr>
        <w:t>（二）年初结转和结余：</w:t>
      </w:r>
      <w:r>
        <w:rPr>
          <w:rFonts w:hint="eastAsia" w:ascii="Times New Roman" w:hAnsi="Times New Roman" w:eastAsia="方正仿宋_GBK" w:cs="方正仿宋_GBK"/>
          <w:kern w:val="2"/>
          <w:sz w:val="32"/>
          <w:szCs w:val="32"/>
          <w:highlight w:val="none"/>
          <w:lang w:val="en-US" w:eastAsia="zh-CN" w:bidi="ar-SA"/>
        </w:rPr>
        <w:t>指单位上年结转本年使用的基本支出结转、项目支出结转和结余、经营结余。</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eastAsia"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b/>
          <w:bCs/>
          <w:kern w:val="2"/>
          <w:sz w:val="32"/>
          <w:szCs w:val="32"/>
          <w:highlight w:val="none"/>
          <w:lang w:val="en-US" w:eastAsia="zh-CN" w:bidi="ar-SA"/>
        </w:rPr>
        <w:t>（三）年末结转和结余：</w:t>
      </w:r>
      <w:r>
        <w:rPr>
          <w:rFonts w:hint="eastAsia" w:ascii="Times New Roman" w:hAnsi="Times New Roman" w:eastAsia="方正仿宋_GBK" w:cs="方正仿宋_GBK"/>
          <w:kern w:val="2"/>
          <w:sz w:val="32"/>
          <w:szCs w:val="32"/>
          <w:highlight w:val="none"/>
          <w:lang w:val="en-US" w:eastAsia="zh-CN" w:bidi="ar-SA"/>
        </w:rPr>
        <w:t>指单位结转下年的基本支出结转、项目支出结转和结余、经营结余。</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eastAsia"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b/>
          <w:bCs/>
          <w:kern w:val="2"/>
          <w:sz w:val="32"/>
          <w:szCs w:val="32"/>
          <w:highlight w:val="none"/>
          <w:lang w:val="en-US" w:eastAsia="zh-CN" w:bidi="ar-SA"/>
        </w:rPr>
        <w:t>（四）基本支出：</w:t>
      </w:r>
      <w:r>
        <w:rPr>
          <w:rFonts w:hint="eastAsia" w:ascii="Times New Roman" w:hAnsi="Times New Roman" w:eastAsia="方正仿宋_GBK" w:cs="方正仿宋_GBK"/>
          <w:kern w:val="2"/>
          <w:sz w:val="32"/>
          <w:szCs w:val="32"/>
          <w:highlight w:val="none"/>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eastAsia"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b/>
          <w:bCs/>
          <w:kern w:val="2"/>
          <w:sz w:val="32"/>
          <w:szCs w:val="32"/>
          <w:highlight w:val="none"/>
          <w:lang w:val="en-US" w:eastAsia="zh-CN" w:bidi="ar-SA"/>
        </w:rPr>
        <w:t>（五）项目支出：</w:t>
      </w:r>
      <w:r>
        <w:rPr>
          <w:rFonts w:hint="eastAsia" w:ascii="Times New Roman" w:hAnsi="Times New Roman" w:eastAsia="方正仿宋_GBK" w:cs="方正仿宋_GBK"/>
          <w:kern w:val="2"/>
          <w:sz w:val="32"/>
          <w:szCs w:val="32"/>
          <w:highlight w:val="none"/>
          <w:lang w:val="en-US" w:eastAsia="zh-CN" w:bidi="ar-SA"/>
        </w:rPr>
        <w:t>指在基本支出之外为完成特定行政任务和事业发展目标所发生的支出。</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eastAsia"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b/>
          <w:bCs/>
          <w:kern w:val="2"/>
          <w:sz w:val="32"/>
          <w:szCs w:val="32"/>
          <w:highlight w:val="none"/>
          <w:lang w:val="en-US" w:eastAsia="zh-CN" w:bidi="ar-SA"/>
        </w:rPr>
        <w:t>（六）“三公”经费：</w:t>
      </w:r>
      <w:r>
        <w:rPr>
          <w:rFonts w:hint="eastAsia" w:ascii="Times New Roman" w:hAnsi="Times New Roman" w:eastAsia="方正仿宋_GBK" w:cs="方正仿宋_GBK"/>
          <w:kern w:val="2"/>
          <w:sz w:val="32"/>
          <w:szCs w:val="32"/>
          <w:highlight w:val="none"/>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eastAsia"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b/>
          <w:bCs/>
          <w:kern w:val="2"/>
          <w:sz w:val="32"/>
          <w:szCs w:val="32"/>
          <w:highlight w:val="none"/>
          <w:lang w:val="en-US" w:eastAsia="zh-CN" w:bidi="ar-SA"/>
        </w:rPr>
        <w:t>（七）机关运行经费：</w:t>
      </w:r>
      <w:r>
        <w:rPr>
          <w:rFonts w:hint="eastAsia" w:ascii="Times New Roman" w:hAnsi="Times New Roman" w:eastAsia="方正仿宋_GBK" w:cs="方正仿宋_GBK"/>
          <w:kern w:val="2"/>
          <w:sz w:val="32"/>
          <w:szCs w:val="32"/>
          <w:highlight w:val="none"/>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eastAsia"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b/>
          <w:bCs/>
          <w:kern w:val="2"/>
          <w:sz w:val="32"/>
          <w:szCs w:val="32"/>
          <w:highlight w:val="none"/>
          <w:lang w:val="en-US" w:eastAsia="zh-CN" w:bidi="ar-SA"/>
        </w:rPr>
        <w:t>（八）工资福利支出（支出经济分类科目类级）：</w:t>
      </w:r>
      <w:r>
        <w:rPr>
          <w:rFonts w:hint="eastAsia" w:ascii="Times New Roman" w:hAnsi="Times New Roman" w:eastAsia="方正仿宋_GBK" w:cs="方正仿宋_GBK"/>
          <w:kern w:val="2"/>
          <w:sz w:val="32"/>
          <w:szCs w:val="32"/>
          <w:highlight w:val="none"/>
          <w:lang w:val="en-US" w:eastAsia="zh-CN" w:bidi="ar-SA"/>
        </w:rPr>
        <w:t>反映单位开支的在职职工和编制外长期聘用人员的各类劳动报酬，以及为上述人员缴纳的各项社会保险费等。</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eastAsia"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b/>
          <w:bCs/>
          <w:kern w:val="2"/>
          <w:sz w:val="32"/>
          <w:szCs w:val="32"/>
          <w:highlight w:val="none"/>
          <w:lang w:val="en-US" w:eastAsia="zh-CN" w:bidi="ar-SA"/>
        </w:rPr>
        <w:t>（九）商品和服务支出（支出经济分类科目类级）：</w:t>
      </w:r>
      <w:r>
        <w:rPr>
          <w:rFonts w:hint="eastAsia" w:ascii="Times New Roman" w:hAnsi="Times New Roman" w:eastAsia="方正仿宋_GBK" w:cs="方正仿宋_GBK"/>
          <w:kern w:val="2"/>
          <w:sz w:val="32"/>
          <w:szCs w:val="32"/>
          <w:highlight w:val="none"/>
          <w:lang w:val="en-US" w:eastAsia="zh-CN" w:bidi="ar-SA"/>
        </w:rPr>
        <w:t>反映单位购买商品和服务的支出（不包括用于购置固定资产的支出、战略性和应急储备支出）。</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eastAsia"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b/>
          <w:bCs/>
          <w:kern w:val="2"/>
          <w:sz w:val="32"/>
          <w:szCs w:val="32"/>
          <w:highlight w:val="none"/>
          <w:lang w:val="en-US" w:eastAsia="zh-CN" w:bidi="ar-SA"/>
        </w:rPr>
        <w:t>（十）对个人和家庭的补助（支出经济分类科目类级）：</w:t>
      </w:r>
      <w:r>
        <w:rPr>
          <w:rFonts w:hint="eastAsia" w:ascii="Times New Roman" w:hAnsi="Times New Roman" w:eastAsia="方正仿宋_GBK" w:cs="方正仿宋_GBK"/>
          <w:kern w:val="2"/>
          <w:sz w:val="32"/>
          <w:szCs w:val="32"/>
          <w:highlight w:val="none"/>
          <w:lang w:val="en-US" w:eastAsia="zh-CN" w:bidi="ar-SA"/>
        </w:rPr>
        <w:t>反映用于对个人和家庭的补助支出。</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eastAsia"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b/>
          <w:bCs/>
          <w:kern w:val="2"/>
          <w:sz w:val="32"/>
          <w:szCs w:val="32"/>
          <w:highlight w:val="none"/>
          <w:lang w:val="en-US" w:eastAsia="zh-CN" w:bidi="ar-SA"/>
        </w:rPr>
        <w:t>（十一）其他资本性支出（支出经济分类科目类级）：</w:t>
      </w:r>
      <w:r>
        <w:rPr>
          <w:rFonts w:hint="eastAsia" w:ascii="Times New Roman" w:hAnsi="Times New Roman" w:eastAsia="方正仿宋_GBK" w:cs="方正仿宋_GBK"/>
          <w:kern w:val="2"/>
          <w:sz w:val="32"/>
          <w:szCs w:val="32"/>
          <w:highlight w:val="none"/>
          <w:lang w:val="en-US" w:eastAsia="zh-CN" w:bidi="ar-SA"/>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3" w:firstLineChars="200"/>
        <w:textAlignment w:val="auto"/>
        <w:rPr>
          <w:rFonts w:hint="eastAsia" w:ascii="Times New Roman" w:hAnsi="Times New Roman" w:eastAsia="方正仿宋_GBK" w:cs="方正仿宋_GBK"/>
          <w:kern w:val="0"/>
          <w:sz w:val="32"/>
          <w:szCs w:val="32"/>
        </w:rPr>
      </w:pPr>
      <w:r>
        <w:rPr>
          <w:rStyle w:val="9"/>
          <w:rFonts w:hint="eastAsia" w:ascii="Times New Roman" w:hAnsi="Times New Roman" w:eastAsia="方正黑体_GBK" w:cs="方正黑体_GBK"/>
          <w:sz w:val="32"/>
          <w:szCs w:val="32"/>
          <w:shd w:val="clear" w:color="auto" w:fill="FFFFFF"/>
          <w:lang w:val="en-US" w:eastAsia="zh-CN" w:bidi="ar-SA"/>
        </w:rPr>
        <w:t>七、决算公开联系方式及信息反馈渠道</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kern w:val="2"/>
          <w:sz w:val="32"/>
          <w:szCs w:val="32"/>
          <w:highlight w:val="none"/>
          <w:lang w:val="en-US" w:eastAsia="zh-CN" w:bidi="ar-SA"/>
        </w:rPr>
        <w:t>本单位决算公开信息反馈和联系方式：</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仿宋_GBK" w:cs="方正仿宋_GBK"/>
          <w:kern w:val="2"/>
          <w:sz w:val="32"/>
          <w:szCs w:val="32"/>
          <w:highlight w:val="none"/>
          <w:lang w:val="en-US" w:eastAsia="zh-CN" w:bidi="ar-SA"/>
        </w:rPr>
      </w:pPr>
      <w:r>
        <w:rPr>
          <w:rFonts w:hint="default" w:ascii="Times New Roman" w:hAnsi="Times New Roman" w:eastAsia="方正仿宋_GBK" w:cs="方正仿宋_GBK"/>
          <w:kern w:val="2"/>
          <w:sz w:val="32"/>
          <w:szCs w:val="32"/>
          <w:highlight w:val="none"/>
          <w:lang w:val="en-US" w:eastAsia="zh-CN" w:bidi="ar-SA"/>
        </w:rPr>
        <w:t>卢小奉</w:t>
      </w:r>
      <w:r>
        <w:rPr>
          <w:rFonts w:hint="eastAsia" w:ascii="Times New Roman" w:hAnsi="Times New Roman" w:eastAsia="方正仿宋_GBK" w:cs="方正仿宋_GBK"/>
          <w:kern w:val="2"/>
          <w:sz w:val="32"/>
          <w:szCs w:val="32"/>
          <w:highlight w:val="none"/>
          <w:lang w:val="en-US" w:eastAsia="zh-CN" w:bidi="ar-SA"/>
        </w:rPr>
        <w:t xml:space="preserve">  </w:t>
      </w:r>
      <w:r>
        <w:rPr>
          <w:rFonts w:hint="default" w:ascii="Times New Roman" w:hAnsi="Times New Roman" w:eastAsia="方正仿宋_GBK" w:cs="方正仿宋_GBK"/>
          <w:kern w:val="2"/>
          <w:sz w:val="32"/>
          <w:szCs w:val="32"/>
          <w:highlight w:val="none"/>
          <w:lang w:val="en-US" w:eastAsia="zh-CN" w:bidi="ar-SA"/>
        </w:rPr>
        <w:t>023-51535011</w:t>
      </w:r>
    </w:p>
    <w:p>
      <w:pPr>
        <w:pStyle w:val="10"/>
        <w:autoSpaceDE w:val="0"/>
        <w:spacing w:line="596" w:lineRule="exact"/>
        <w:ind w:firstLine="640"/>
        <w:jc w:val="both"/>
        <w:rPr>
          <w:rStyle w:val="9"/>
          <w:rFonts w:ascii="Times New Roman" w:hAnsi="Times New Roman" w:eastAsia="方正仿宋_GBK" w:cs="方正仿宋_GBK"/>
          <w:sz w:val="32"/>
          <w:szCs w:val="32"/>
          <w:shd w:val="clear" w:color="auto" w:fill="FFFF00"/>
        </w:rPr>
        <w:sectPr>
          <w:footerReference r:id="rId5" w:type="default"/>
          <w:pgSz w:w="11915" w:h="16840"/>
          <w:pgMar w:top="2154" w:right="1474" w:bottom="1474" w:left="1587" w:header="851" w:footer="992" w:gutter="0"/>
          <w:pgNumType w:fmt="decimal"/>
          <w:cols w:space="720" w:num="1"/>
          <w:docGrid w:type="lines" w:linePitch="312" w:charSpace="0"/>
        </w:sectPr>
      </w:pP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FF0000"/>
          <w:sz w:val="32"/>
          <w:szCs w:val="32"/>
          <w:shd w:val="clear" w:color="auto" w:fill="FFFFFF"/>
        </w:rPr>
      </w:pPr>
    </w:p>
    <w:tbl>
      <w:tblPr>
        <w:tblStyle w:val="7"/>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部门</w:t>
            </w:r>
            <w:r>
              <w:rPr>
                <w:rFonts w:ascii="Times New Roman" w:hAnsi="Times New Roman" w:cs="宋体"/>
                <w:sz w:val="20"/>
                <w:szCs w:val="20"/>
              </w:rPr>
              <w:t>：</w:t>
            </w:r>
            <w:r>
              <w:rPr>
                <w:rFonts w:ascii="Times New Roman" w:hAnsi="Times New Roman"/>
                <w:sz w:val="20"/>
                <w:u w:color="auto"/>
              </w:rPr>
              <w:t>中国共产党巫溪县委员会办公室</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1,694.35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1,388.09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204.09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61.06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1,694.35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1,694.35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1,694.35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r>
              <w:rPr>
                <w:rFonts w:hint="eastAsia" w:ascii="Times New Roman" w:hAnsi="Times New Roman"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1,694.35</w:t>
            </w:r>
          </w:p>
        </w:tc>
      </w:tr>
    </w:tbl>
    <w:p>
      <w:pPr>
        <w:pStyle w:val="10"/>
        <w:numPr>
          <w:ilvl w:val="0"/>
          <w:numId w:val="0"/>
        </w:numPr>
        <w:autoSpaceDE w:val="0"/>
        <w:rPr>
          <w:rFonts w:hint="eastAsia" w:ascii="Times New Roman" w:hAnsi="Times New Roman" w:eastAsia="宋体" w:cs="宋体"/>
          <w:sz w:val="21"/>
          <w:szCs w:val="21"/>
          <w:lang w:val="en-US" w:eastAsia="zh-CN"/>
        </w:rPr>
        <w:sectPr>
          <w:headerReference r:id="rId6" w:type="default"/>
          <w:footerReference r:id="rId7" w:type="default"/>
          <w:pgSz w:w="23811" w:h="16838" w:orient="landscape"/>
          <w:pgMar w:top="567" w:right="454" w:bottom="567" w:left="1037" w:header="0" w:footer="283" w:gutter="0"/>
          <w:pgNumType w:fmt="decimal"/>
          <w:cols w:space="720" w:num="1"/>
          <w:docGrid w:type="lines" w:linePitch="312" w:charSpace="0"/>
        </w:sectPr>
      </w:pPr>
    </w:p>
    <w:p>
      <w:pPr>
        <w:pStyle w:val="10"/>
        <w:numPr>
          <w:ilvl w:val="0"/>
          <w:numId w:val="0"/>
        </w:numPr>
        <w:autoSpaceDE w:val="0"/>
        <w:rPr>
          <w:rFonts w:hint="eastAsia" w:ascii="Times New Roman" w:hAnsi="Times New Roman" w:eastAsia="宋体"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1"/>
                <w:szCs w:val="21"/>
                <w:lang w:eastAsia="zh-CN"/>
              </w:rPr>
              <w:t>部门</w:t>
            </w:r>
            <w:r>
              <w:rPr>
                <w:rFonts w:ascii="Times New Roman" w:hAnsi="Times New Roman" w:cs="宋体"/>
                <w:sz w:val="20"/>
                <w:szCs w:val="20"/>
              </w:rPr>
              <w:t>：</w:t>
            </w:r>
            <w:r>
              <w:rPr>
                <w:rFonts w:ascii="Times New Roman" w:hAnsi="Times New Roman"/>
                <w:sz w:val="20"/>
                <w:u w:color="auto"/>
              </w:rPr>
              <w:t>中国共产党巫溪县委员会办公室</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Arial"/>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1,694.35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1,694.35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1,388.09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1,388.09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20131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党委办公厅（室）及相关机构事务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1,088.09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1,088.09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2013101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529.82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529.82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2013102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2013105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专项业务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2013150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2013199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其他党委办公厅（室）及相关机构事务支出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20137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网信事务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2013704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信息安全事务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167.11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167.11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 xml:space="preserve">中国共产党巫溪县委员会办公室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1,694.35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1,048.12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646.23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1,388.09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741.86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646.23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20131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党委办公厅（室）及相关机构事务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1,088.09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741.86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346.23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2013101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529.82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529.82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2013102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2013105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专项业务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2013150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2013199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其他党委办公厅（室）及相关机构事务支出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20137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网信事务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2013704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信息安全事务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167.11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167.11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中国共产党巫溪县委员会办公室</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1,694.35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1,388.09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1,388.09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204.09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204.09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1,694.35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1,694.35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1,694.35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1,694.35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1,694.35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1,694.35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中国共产党巫溪县委员会办公室</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1,694.35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1,048.12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646.23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1,694.35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1,048.12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646.23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1,388.09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741.86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646.23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1,388.09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741.86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646.23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20131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党委办公厅（室）及相关机构事务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1,088.09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741.86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346.23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1,088.09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741.86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346.23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2013101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529.82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529.82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529.82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529.82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2013102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321.27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321.27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321.27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321.27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2013105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专项业务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2013150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2013199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其他党委办公厅（室）及相关机构事务支出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20137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网信事务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2013704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信息安全事务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204.09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204.09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204.09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204.09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167.11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167.11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167.11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167.11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74.98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74.98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74.98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74.98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37.49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37.49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37.49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37.49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36.98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36.98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36.98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36.98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36.98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36.98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36.98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36.98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41.11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41.11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41.11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41.11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41.11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41.11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41.11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41.11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30.66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30.66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中国共产党巫溪县委员会办公室</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848.95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97.47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195.12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121.23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169.12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27.99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74.98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37.49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41.66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62.82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101.70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36.98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56.52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28.01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宋体"/>
                <w:i w:val="0"/>
                <w:iCs w:val="0"/>
                <w:color w:val="000000"/>
                <w:kern w:val="0"/>
                <w:sz w:val="22"/>
                <w:szCs w:val="22"/>
                <w:u w:val="none"/>
                <w:lang w:val="en-US" w:eastAsia="zh-CN" w:bidi="ar"/>
              </w:rPr>
            </w:pPr>
            <w:r>
              <w:rPr>
                <w:rFonts w:hint="eastAsia" w:ascii="Times New Roman" w:hAnsi="Times New Roman"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25.75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25.17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950.65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97.47 </w:t>
            </w:r>
          </w:p>
        </w:tc>
      </w:tr>
    </w:tbl>
    <w:p>
      <w:p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中国共产党巫溪县委员会办公室</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w:t>
            </w:r>
            <w:r>
              <w:rPr>
                <w:rFonts w:hint="eastAsia" w:ascii="Times New Roman" w:hAnsi="Times New Roman" w:cs="宋体"/>
                <w:i w:val="0"/>
                <w:iCs w:val="0"/>
                <w:color w:val="000000"/>
                <w:kern w:val="0"/>
                <w:sz w:val="20"/>
                <w:szCs w:val="20"/>
                <w:u w:val="none"/>
                <w:lang w:val="en-US" w:eastAsia="zh-CN" w:bidi="ar"/>
              </w:rPr>
              <w:t>7</w:t>
            </w:r>
            <w:r>
              <w:rPr>
                <w:rFonts w:hint="eastAsia" w:ascii="Times New Roman" w:hAnsi="Times New Roman"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default" w:ascii="Times New Roman" w:hAnsi="Times New Roman" w:eastAsia="宋体" w:cs="宋体"/>
          <w:sz w:val="21"/>
          <w:szCs w:val="21"/>
          <w:lang w:val="en-US" w:eastAsia="zh-CN"/>
        </w:rPr>
      </w:pPr>
      <w:r>
        <w:rPr>
          <w:rFonts w:hint="eastAsia" w:ascii="Times New Roman" w:hAnsi="Times New Roman" w:cs="宋体"/>
          <w:sz w:val="21"/>
          <w:szCs w:val="21"/>
          <w:lang w:val="en-US" w:eastAsia="zh-CN"/>
        </w:rPr>
        <w:t>备注：</w:t>
      </w:r>
      <w:r>
        <w:rPr>
          <w:rFonts w:hint="eastAsia" w:ascii="Times New Roman" w:hAnsi="Times New Roman" w:cs="宋体"/>
          <w:sz w:val="21"/>
          <w:szCs w:val="21"/>
          <w:highlight w:val="none"/>
          <w:lang w:val="en-US" w:eastAsia="zh-CN"/>
        </w:rPr>
        <w:t>备注：本年无政府性基金收支，故本表无数据。</w:t>
      </w:r>
    </w:p>
    <w:p>
      <w:pPr>
        <w:numPr>
          <w:ilvl w:val="0"/>
          <w:numId w:val="0"/>
        </w:numPr>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中国共产党巫溪县委员会办公室</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ind w:firstLine="420" w:firstLineChars="200"/>
        <w:rPr>
          <w:rFonts w:hint="default" w:ascii="Times New Roman" w:hAnsi="Times New Roman" w:eastAsia="宋体" w:cs="宋体"/>
          <w:sz w:val="21"/>
          <w:szCs w:val="21"/>
          <w:lang w:val="en-US" w:eastAsia="zh-CN"/>
        </w:rPr>
      </w:pPr>
      <w:r>
        <w:rPr>
          <w:rFonts w:hint="eastAsia" w:ascii="Times New Roman" w:hAnsi="Times New Roman" w:cs="宋体"/>
          <w:sz w:val="21"/>
          <w:szCs w:val="21"/>
          <w:highlight w:val="none"/>
          <w:lang w:val="en-US" w:eastAsia="zh-CN"/>
        </w:rPr>
        <w:t>备注：本年无国有资本经营收支，故本表无数据。</w:t>
      </w:r>
    </w:p>
    <w:p>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7"/>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44"/>
                <w:szCs w:val="44"/>
                <w:u w:val="none"/>
              </w:rPr>
            </w:pPr>
            <w:r>
              <w:rPr>
                <w:rFonts w:hint="eastAsia" w:ascii="Times New Roman" w:hAnsi="Times New Roman"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中国共产党巫溪县委员会办公室</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77.28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28.15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77.28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25.75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25.75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175</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37.11</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4.35</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i w:val="0"/>
                <w:color w:val="000000"/>
                <w:kern w:val="2"/>
                <w:sz w:val="22"/>
                <w:szCs w:val="22"/>
                <w:u w:val="none"/>
                <w:lang w:val="en-US" w:eastAsia="zh-CN" w:bidi="ar-SA"/>
              </w:rPr>
            </w:pPr>
            <w:r>
              <w:rPr>
                <w:rFonts w:hint="eastAsia" w:ascii="Times New Roman" w:hAnsi="Times New Roman"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color w:val="000000"/>
                <w:kern w:val="2"/>
                <w:sz w:val="22"/>
                <w:szCs w:val="22"/>
                <w:u w:val="none"/>
                <w:lang w:val="en-US" w:eastAsia="zh-CN" w:bidi="ar-SA"/>
              </w:rPr>
            </w:pPr>
            <w:r>
              <w:rPr>
                <w:rFonts w:hint="eastAsia" w:ascii="Times New Roman" w:hAnsi="Times New Roman"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18.01</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u w:val="none"/>
              </w:rPr>
            </w:pPr>
          </w:p>
        </w:tc>
      </w:tr>
    </w:tbl>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pStyle w:val="10"/>
        <w:autoSpaceDE w:val="0"/>
        <w:ind w:firstLine="0" w:firstLineChars="0"/>
        <w:rPr>
          <w:rFonts w:hint="default" w:ascii="Times New Roman" w:hAnsi="Times New Roman" w:eastAsia="宋体" w:cs="宋体"/>
          <w:sz w:val="21"/>
          <w:szCs w:val="21"/>
        </w:rPr>
      </w:pPr>
    </w:p>
    <w:sectPr>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ascii="宋体" w:hAnsi="宋体" w:eastAsia="宋体"/>
                              <w:sz w:val="28"/>
                            </w:rPr>
                          </w:pPr>
                          <w:r>
                            <w:rPr>
                              <w:rFonts w:hint="default"/>
                              <w:sz w:val="28"/>
                            </w:rPr>
                            <w:t>—</w:t>
                          </w:r>
                          <w:r>
                            <w:rPr>
                              <w:rFonts w:hint="default"/>
                              <w:sz w:val="24"/>
                            </w:rPr>
                            <w:t>　</w:t>
                          </w:r>
                          <w:r>
                            <w:rPr>
                              <w:rFonts w:hint="default"/>
                              <w:sz w:val="28"/>
                            </w:rPr>
                            <w:fldChar w:fldCharType="begin"/>
                          </w:r>
                          <w:r>
                            <w:rPr>
                              <w:rFonts w:hint="default"/>
                              <w:sz w:val="28"/>
                            </w:rPr>
                            <w:instrText xml:space="preserve"> PAGE  \* MERGEFORMAT </w:instrText>
                          </w:r>
                          <w:r>
                            <w:rPr>
                              <w:rFonts w:hint="default"/>
                              <w:sz w:val="28"/>
                            </w:rPr>
                            <w:fldChar w:fldCharType="separate"/>
                          </w:r>
                          <w:r>
                            <w:rPr>
                              <w:rFonts w:hint="default"/>
                              <w:sz w:val="28"/>
                            </w:rPr>
                            <w:t>- 1 -</w:t>
                          </w:r>
                          <w:r>
                            <w:rPr>
                              <w:rFonts w:hint="default"/>
                              <w:sz w:val="28"/>
                            </w:rPr>
                            <w:fldChar w:fldCharType="end"/>
                          </w:r>
                          <w:r>
                            <w:rPr>
                              <w:rFonts w:hint="default"/>
                              <w:sz w:val="24"/>
                            </w:rPr>
                            <w:t>　</w:t>
                          </w:r>
                          <w:r>
                            <w:rPr>
                              <w:rFonts w:hint="default"/>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qVKztYA&#10;AAAGAQAADwAAAAAAAAABACAAAAAiAAAAZHJzL2Rvd25yZXYueG1sUEsBAhQAFAAAAAgAh07iQLFY&#10;tLchAgAAKwQAAA4AAAAAAAAAAQAgAAAAJQEAAGRycy9lMm9Eb2MueG1sUEsFBgAAAAAGAAYAWQEA&#10;ALgFAAAAAA==&#10;">
              <v:fill on="f" focussize="0,0"/>
              <v:stroke on="f" weight="0.5pt"/>
              <v:imagedata o:title=""/>
              <o:lock v:ext="edit" aspectratio="f"/>
              <v:textbox inset="16pt,0mm,16pt,0mm" style="mso-fit-shape-to-text:t;">
                <w:txbxContent>
                  <w:p>
                    <w:pPr>
                      <w:pStyle w:val="3"/>
                      <w:rPr>
                        <w:rFonts w:hint="default" w:ascii="宋体" w:hAnsi="宋体" w:eastAsia="宋体"/>
                        <w:sz w:val="28"/>
                      </w:rPr>
                    </w:pPr>
                    <w:r>
                      <w:rPr>
                        <w:rFonts w:hint="default"/>
                        <w:sz w:val="28"/>
                      </w:rPr>
                      <w:t>—</w:t>
                    </w:r>
                    <w:r>
                      <w:rPr>
                        <w:rFonts w:hint="default"/>
                        <w:sz w:val="24"/>
                      </w:rPr>
                      <w:t>　</w:t>
                    </w:r>
                    <w:r>
                      <w:rPr>
                        <w:rFonts w:hint="default"/>
                        <w:sz w:val="28"/>
                      </w:rPr>
                      <w:fldChar w:fldCharType="begin"/>
                    </w:r>
                    <w:r>
                      <w:rPr>
                        <w:rFonts w:hint="default"/>
                        <w:sz w:val="28"/>
                      </w:rPr>
                      <w:instrText xml:space="preserve"> PAGE  \* MERGEFORMAT </w:instrText>
                    </w:r>
                    <w:r>
                      <w:rPr>
                        <w:rFonts w:hint="default"/>
                        <w:sz w:val="28"/>
                      </w:rPr>
                      <w:fldChar w:fldCharType="separate"/>
                    </w:r>
                    <w:r>
                      <w:rPr>
                        <w:rFonts w:hint="default"/>
                        <w:sz w:val="28"/>
                      </w:rPr>
                      <w:t>- 1 -</w:t>
                    </w:r>
                    <w:r>
                      <w:rPr>
                        <w:rFonts w:hint="default"/>
                        <w:sz w:val="28"/>
                      </w:rPr>
                      <w:fldChar w:fldCharType="end"/>
                    </w:r>
                    <w:r>
                      <w:rPr>
                        <w:rFonts w:hint="default"/>
                        <w:sz w:val="24"/>
                      </w:rPr>
                      <w:t>　</w:t>
                    </w:r>
                    <w:r>
                      <w:rPr>
                        <w:rFonts w:hint="default"/>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posOffset>4409440</wp:posOffset>
              </wp:positionH>
              <wp:positionV relativeFrom="paragraph">
                <wp:posOffset>-139700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ascii="宋体" w:hAnsi="宋体" w:eastAsia="宋体"/>
                              <w:sz w:val="28"/>
                              <w:szCs w:val="28"/>
                            </w:rPr>
                          </w:pPr>
                          <w:r>
                            <w:rPr>
                              <w:rFonts w:hint="default"/>
                              <w:sz w:val="28"/>
                              <w:szCs w:val="28"/>
                            </w:rPr>
                            <w:t>—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3</w:t>
                          </w:r>
                          <w:r>
                            <w:rPr>
                              <w:rFonts w:hint="default"/>
                              <w:sz w:val="28"/>
                              <w:szCs w:val="28"/>
                            </w:rPr>
                            <w:fldChar w:fldCharType="end"/>
                          </w:r>
                          <w:r>
                            <w:rPr>
                              <w:rFonts w:hint="default"/>
                              <w:sz w:val="28"/>
                              <w:szCs w:val="28"/>
                            </w:rPr>
                            <w:t>　—</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47.2pt;margin-top:-11pt;height:144pt;width:144pt;mso-position-horizontal-relative:margin;mso-wrap-style:none;z-index:251662336;mso-width-relative:page;mso-height-relative:page;" filled="f" stroked="f" coordsize="21600,21600" o:gfxdata="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tj/i2&#10;2gAAAAsBAAAPAAAAAAAAAAEAIAAAACIAAABkcnMvZG93bnJldi54bWxQSwECFAAUAAAACACHTuJA&#10;sXIvDh8CAAArBAAADgAAAAAAAAABACAAAAApAQAAZHJzL2Uyb0RvYy54bWxQSwUGAAAAAAYABgBZ&#10;AQAAugUAAAAA&#10;">
              <v:fill on="f" focussize="0,0"/>
              <v:stroke on="f" weight="0.5pt"/>
              <v:imagedata o:title=""/>
              <o:lock v:ext="edit" aspectratio="f"/>
              <v:textbox inset="16pt,0mm,16pt,0mm" style="mso-fit-shape-to-text:t;">
                <w:txbxContent>
                  <w:p>
                    <w:pPr>
                      <w:pStyle w:val="3"/>
                      <w:rPr>
                        <w:rFonts w:hint="default" w:ascii="宋体" w:hAnsi="宋体" w:eastAsia="宋体"/>
                        <w:sz w:val="28"/>
                        <w:szCs w:val="28"/>
                      </w:rPr>
                    </w:pPr>
                    <w:r>
                      <w:rPr>
                        <w:rFonts w:hint="default"/>
                        <w:sz w:val="28"/>
                        <w:szCs w:val="28"/>
                      </w:rPr>
                      <w:t>—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3</w:t>
                    </w:r>
                    <w:r>
                      <w:rPr>
                        <w:rFonts w:hint="default"/>
                        <w:sz w:val="28"/>
                        <w:szCs w:val="28"/>
                      </w:rPr>
                      <w:fldChar w:fldCharType="end"/>
                    </w:r>
                    <w:r>
                      <w:rPr>
                        <w:rFonts w:hint="default"/>
                        <w:sz w:val="28"/>
                        <w:szCs w:val="28"/>
                      </w:rPr>
                      <w:t>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-111125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ascii="宋体" w:hAnsi="宋体" w:eastAsia="宋体"/>
                              <w:sz w:val="28"/>
                            </w:rPr>
                          </w:pPr>
                          <w:r>
                            <w:rPr>
                              <w:rFonts w:hint="default"/>
                              <w:sz w:val="28"/>
                            </w:rPr>
                            <w:t>—</w:t>
                          </w:r>
                          <w:r>
                            <w:rPr>
                              <w:rFonts w:hint="default"/>
                              <w:sz w:val="24"/>
                            </w:rPr>
                            <w:t>　</w:t>
                          </w:r>
                          <w:r>
                            <w:rPr>
                              <w:rFonts w:hint="default"/>
                              <w:sz w:val="28"/>
                            </w:rPr>
                            <w:fldChar w:fldCharType="begin"/>
                          </w:r>
                          <w:r>
                            <w:rPr>
                              <w:rFonts w:hint="default"/>
                              <w:sz w:val="28"/>
                            </w:rPr>
                            <w:instrText xml:space="preserve"> PAGE  \* MERGEFORMAT </w:instrText>
                          </w:r>
                          <w:r>
                            <w:rPr>
                              <w:rFonts w:hint="default"/>
                              <w:sz w:val="28"/>
                            </w:rPr>
                            <w:fldChar w:fldCharType="separate"/>
                          </w:r>
                          <w:r>
                            <w:rPr>
                              <w:rFonts w:hint="default"/>
                              <w:sz w:val="28"/>
                            </w:rPr>
                            <w:t>4</w:t>
                          </w:r>
                          <w:r>
                            <w:rPr>
                              <w:rFonts w:hint="default"/>
                              <w:sz w:val="28"/>
                            </w:rPr>
                            <w:fldChar w:fldCharType="end"/>
                          </w:r>
                          <w:r>
                            <w:rPr>
                              <w:rFonts w:hint="default"/>
                              <w:sz w:val="24"/>
                            </w:rPr>
                            <w:t>　</w:t>
                          </w:r>
                          <w:r>
                            <w:rPr>
                              <w:rFonts w:hint="default"/>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8.75pt;height:144pt;width:144pt;mso-position-horizontal-relative:margin;mso-wrap-style:none;z-index:251663360;mso-width-relative:page;mso-height-relative:page;" filled="f" stroked="f" coordsize="21600,21600" o:gfxdata="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dRlZ&#10;1tkAAAAIAQAADwAAAAAAAAABACAAAAAiAAAAZHJzL2Rvd25yZXYueG1sUEsBAhQAFAAAAAgAh07i&#10;QI687WkhAgAAKwQAAA4AAAAAAAAAAQAgAAAAKAEAAGRycy9lMm9Eb2MueG1sUEsFBgAAAAAGAAYA&#10;WQEAALsFAAAAAA==&#10;">
              <v:fill on="f" focussize="0,0"/>
              <v:stroke on="f" weight="0.5pt"/>
              <v:imagedata o:title=""/>
              <o:lock v:ext="edit" aspectratio="f"/>
              <v:textbox inset="16pt,0mm,16pt,0mm" style="mso-fit-shape-to-text:t;">
                <w:txbxContent>
                  <w:p>
                    <w:pPr>
                      <w:pStyle w:val="3"/>
                      <w:rPr>
                        <w:rFonts w:hint="default" w:ascii="宋体" w:hAnsi="宋体" w:eastAsia="宋体"/>
                        <w:sz w:val="28"/>
                      </w:rPr>
                    </w:pPr>
                    <w:r>
                      <w:rPr>
                        <w:rFonts w:hint="default"/>
                        <w:sz w:val="28"/>
                      </w:rPr>
                      <w:t>—</w:t>
                    </w:r>
                    <w:r>
                      <w:rPr>
                        <w:rFonts w:hint="default"/>
                        <w:sz w:val="24"/>
                      </w:rPr>
                      <w:t>　</w:t>
                    </w:r>
                    <w:r>
                      <w:rPr>
                        <w:rFonts w:hint="default"/>
                        <w:sz w:val="28"/>
                      </w:rPr>
                      <w:fldChar w:fldCharType="begin"/>
                    </w:r>
                    <w:r>
                      <w:rPr>
                        <w:rFonts w:hint="default"/>
                        <w:sz w:val="28"/>
                      </w:rPr>
                      <w:instrText xml:space="preserve"> PAGE  \* MERGEFORMAT </w:instrText>
                    </w:r>
                    <w:r>
                      <w:rPr>
                        <w:rFonts w:hint="default"/>
                        <w:sz w:val="28"/>
                      </w:rPr>
                      <w:fldChar w:fldCharType="separate"/>
                    </w:r>
                    <w:r>
                      <w:rPr>
                        <w:rFonts w:hint="default"/>
                        <w:sz w:val="28"/>
                      </w:rPr>
                      <w:t>4</w:t>
                    </w:r>
                    <w:r>
                      <w:rPr>
                        <w:rFonts w:hint="default"/>
                        <w:sz w:val="28"/>
                      </w:rPr>
                      <w:fldChar w:fldCharType="end"/>
                    </w:r>
                    <w:r>
                      <w:rPr>
                        <w:rFonts w:hint="default"/>
                        <w:sz w:val="24"/>
                      </w:rPr>
                      <w:t>　</w:t>
                    </w:r>
                    <w:r>
                      <w:rPr>
                        <w:rFonts w:hint="default"/>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posOffset>-327660</wp:posOffset>
              </wp:positionH>
              <wp:positionV relativeFrom="margin">
                <wp:align>outside</wp:align>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ascii="宋体" w:hAnsi="宋体" w:eastAsia="宋体"/>
                              <w:sz w:val="28"/>
                            </w:rPr>
                          </w:pPr>
                          <w:r>
                            <w:rPr>
                              <w:rFonts w:hint="default"/>
                              <w:sz w:val="28"/>
                            </w:rPr>
                            <w:t>—</w:t>
                          </w:r>
                          <w:r>
                            <w:rPr>
                              <w:rFonts w:hint="default"/>
                              <w:sz w:val="24"/>
                            </w:rPr>
                            <w:t>　</w:t>
                          </w:r>
                          <w:r>
                            <w:rPr>
                              <w:rFonts w:hint="default"/>
                              <w:sz w:val="28"/>
                            </w:rPr>
                            <w:fldChar w:fldCharType="begin"/>
                          </w:r>
                          <w:r>
                            <w:rPr>
                              <w:rFonts w:hint="default"/>
                              <w:sz w:val="28"/>
                            </w:rPr>
                            <w:instrText xml:space="preserve"> PAGE  \* MERGEFORMAT </w:instrText>
                          </w:r>
                          <w:r>
                            <w:rPr>
                              <w:rFonts w:hint="default"/>
                              <w:sz w:val="28"/>
                            </w:rPr>
                            <w:fldChar w:fldCharType="separate"/>
                          </w:r>
                          <w:r>
                            <w:rPr>
                              <w:rFonts w:hint="default"/>
                              <w:sz w:val="28"/>
                            </w:rPr>
                            <w:t>14</w:t>
                          </w:r>
                          <w:r>
                            <w:rPr>
                              <w:rFonts w:hint="default"/>
                              <w:sz w:val="28"/>
                            </w:rPr>
                            <w:fldChar w:fldCharType="end"/>
                          </w:r>
                          <w:r>
                            <w:rPr>
                              <w:rFonts w:hint="default"/>
                              <w:sz w:val="24"/>
                            </w:rPr>
                            <w:t>　</w:t>
                          </w:r>
                          <w:r>
                            <w:rPr>
                              <w:rFonts w:hint="default"/>
                              <w:sz w:val="28"/>
                            </w:rPr>
                            <w:t>—</w:t>
                          </w:r>
                        </w:p>
                      </w:txbxContent>
                    </wps:txbx>
                    <wps:bodyPr rot="0" spcFirstLastPara="0" vertOverflow="overflow" horzOverflow="overflow" vert="eaVert" wrap="none" lIns="0" tIns="203200" rIns="0" bIns="20320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8pt;height:144pt;width:144pt;mso-position-horizontal-relative:margin;mso-position-vertical:outside;mso-position-vertical-relative:margin;mso-wrap-style:none;z-index:251660288;mso-width-relative:page;mso-height-relative:page;" filled="f" stroked="f" coordsize="21600,21600" o:allowoverlap="f" o:gfxdata="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m&#10;2ltd1gAAAAgBAAAPAAAAAAAAAAEAIAAAACIAAABkcnMvZG93bnJldi54bWxQSwECFAAUAAAACACH&#10;TuJAPWw0WSYCAAAxBAAADgAAAAAAAAABACAAAAAlAQAAZHJzL2Uyb0RvYy54bWxQSwUGAAAAAAYA&#10;BgBZAQAAvQUAAAAA&#10;">
              <v:fill on="f" focussize="0,0"/>
              <v:stroke on="f" weight="0.5pt"/>
              <v:imagedata o:title=""/>
              <o:lock v:ext="edit" aspectratio="f"/>
              <v:textbox inset="0mm,16pt,0mm,16pt" style="layout-flow:vertical-ideographic;mso-fit-shape-to-text:t;">
                <w:txbxContent>
                  <w:p>
                    <w:pPr>
                      <w:pStyle w:val="3"/>
                      <w:rPr>
                        <w:rFonts w:hint="default" w:ascii="宋体" w:hAnsi="宋体" w:eastAsia="宋体"/>
                        <w:sz w:val="28"/>
                      </w:rPr>
                    </w:pPr>
                    <w:r>
                      <w:rPr>
                        <w:rFonts w:hint="default"/>
                        <w:sz w:val="28"/>
                      </w:rPr>
                      <w:t>—</w:t>
                    </w:r>
                    <w:r>
                      <w:rPr>
                        <w:rFonts w:hint="default"/>
                        <w:sz w:val="24"/>
                      </w:rPr>
                      <w:t>　</w:t>
                    </w:r>
                    <w:r>
                      <w:rPr>
                        <w:rFonts w:hint="default"/>
                        <w:sz w:val="28"/>
                      </w:rPr>
                      <w:fldChar w:fldCharType="begin"/>
                    </w:r>
                    <w:r>
                      <w:rPr>
                        <w:rFonts w:hint="default"/>
                        <w:sz w:val="28"/>
                      </w:rPr>
                      <w:instrText xml:space="preserve"> PAGE  \* MERGEFORMAT </w:instrText>
                    </w:r>
                    <w:r>
                      <w:rPr>
                        <w:rFonts w:hint="default"/>
                        <w:sz w:val="28"/>
                      </w:rPr>
                      <w:fldChar w:fldCharType="separate"/>
                    </w:r>
                    <w:r>
                      <w:rPr>
                        <w:rFonts w:hint="default"/>
                        <w:sz w:val="28"/>
                      </w:rPr>
                      <w:t>14</w:t>
                    </w:r>
                    <w:r>
                      <w:rPr>
                        <w:rFonts w:hint="default"/>
                        <w:sz w:val="28"/>
                      </w:rPr>
                      <w:fldChar w:fldCharType="end"/>
                    </w:r>
                    <w:r>
                      <w:rPr>
                        <w:rFonts w:hint="default"/>
                        <w:sz w:val="24"/>
                      </w:rPr>
                      <w:t>　</w:t>
                    </w:r>
                    <w:r>
                      <w:rPr>
                        <w:rFonts w:hint="default"/>
                        <w:sz w:val="28"/>
                      </w:rPr>
                      <w:t>—</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381BF1"/>
    <w:rsid w:val="01474EBF"/>
    <w:rsid w:val="01F3521E"/>
    <w:rsid w:val="02F52D82"/>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8F219B9"/>
    <w:rsid w:val="098305D0"/>
    <w:rsid w:val="09B72B6E"/>
    <w:rsid w:val="0A0C7F04"/>
    <w:rsid w:val="0A227275"/>
    <w:rsid w:val="0A5C4B69"/>
    <w:rsid w:val="0AF37B00"/>
    <w:rsid w:val="0B9335CE"/>
    <w:rsid w:val="0BA10C97"/>
    <w:rsid w:val="0C3D33C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5C0347"/>
    <w:rsid w:val="13850DCB"/>
    <w:rsid w:val="13871C70"/>
    <w:rsid w:val="13A71CB4"/>
    <w:rsid w:val="13AF1D43"/>
    <w:rsid w:val="13CE1647"/>
    <w:rsid w:val="14200702"/>
    <w:rsid w:val="144F3F11"/>
    <w:rsid w:val="1580711B"/>
    <w:rsid w:val="16D80EBF"/>
    <w:rsid w:val="189B0D0B"/>
    <w:rsid w:val="18B36208"/>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434BBF"/>
    <w:rsid w:val="29C37A35"/>
    <w:rsid w:val="2A076083"/>
    <w:rsid w:val="2A306CA5"/>
    <w:rsid w:val="2A4A01E2"/>
    <w:rsid w:val="2A73162E"/>
    <w:rsid w:val="2ADD719B"/>
    <w:rsid w:val="2AFA2E94"/>
    <w:rsid w:val="2B167953"/>
    <w:rsid w:val="2B200583"/>
    <w:rsid w:val="2B8209DE"/>
    <w:rsid w:val="2C6762A3"/>
    <w:rsid w:val="2D5F4C37"/>
    <w:rsid w:val="2DF959B1"/>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6E7604D"/>
    <w:rsid w:val="37841E99"/>
    <w:rsid w:val="379C594F"/>
    <w:rsid w:val="37BF1123"/>
    <w:rsid w:val="37C85E36"/>
    <w:rsid w:val="38BE4696"/>
    <w:rsid w:val="397917F8"/>
    <w:rsid w:val="39B82A39"/>
    <w:rsid w:val="39F33306"/>
    <w:rsid w:val="3A8B037F"/>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32A7004"/>
    <w:rsid w:val="4381755F"/>
    <w:rsid w:val="439311BC"/>
    <w:rsid w:val="443A3B12"/>
    <w:rsid w:val="44487B36"/>
    <w:rsid w:val="44EF6BE8"/>
    <w:rsid w:val="45A30364"/>
    <w:rsid w:val="465B470D"/>
    <w:rsid w:val="469D6AD4"/>
    <w:rsid w:val="47674801"/>
    <w:rsid w:val="48225EF7"/>
    <w:rsid w:val="48A36D47"/>
    <w:rsid w:val="4910488B"/>
    <w:rsid w:val="495C4A24"/>
    <w:rsid w:val="49A21DF3"/>
    <w:rsid w:val="49C811E4"/>
    <w:rsid w:val="4A216E30"/>
    <w:rsid w:val="4A4338FE"/>
    <w:rsid w:val="4B7951CB"/>
    <w:rsid w:val="4B7C315C"/>
    <w:rsid w:val="4B9300D7"/>
    <w:rsid w:val="4BAB7F90"/>
    <w:rsid w:val="4BD53EDA"/>
    <w:rsid w:val="4BE11807"/>
    <w:rsid w:val="4C236A01"/>
    <w:rsid w:val="4C484CE5"/>
    <w:rsid w:val="4CA961F9"/>
    <w:rsid w:val="4DAC4ACA"/>
    <w:rsid w:val="4DD06F63"/>
    <w:rsid w:val="4E043596"/>
    <w:rsid w:val="4EA8523F"/>
    <w:rsid w:val="4F186D58"/>
    <w:rsid w:val="4F224836"/>
    <w:rsid w:val="51760217"/>
    <w:rsid w:val="51E36677"/>
    <w:rsid w:val="522F6E0C"/>
    <w:rsid w:val="52463BA1"/>
    <w:rsid w:val="529F078E"/>
    <w:rsid w:val="534214DF"/>
    <w:rsid w:val="53872534"/>
    <w:rsid w:val="53C0244D"/>
    <w:rsid w:val="53DD4D4E"/>
    <w:rsid w:val="53E578CE"/>
    <w:rsid w:val="53EA10F5"/>
    <w:rsid w:val="543B029D"/>
    <w:rsid w:val="54977029"/>
    <w:rsid w:val="554E5773"/>
    <w:rsid w:val="555A3CBC"/>
    <w:rsid w:val="5584533D"/>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456D6F"/>
    <w:rsid w:val="62944DD7"/>
    <w:rsid w:val="63497036"/>
    <w:rsid w:val="63C1619B"/>
    <w:rsid w:val="63C25DC5"/>
    <w:rsid w:val="63C62057"/>
    <w:rsid w:val="63C73832"/>
    <w:rsid w:val="64192A39"/>
    <w:rsid w:val="64A92E57"/>
    <w:rsid w:val="64F40EE7"/>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87E4AE2"/>
    <w:rsid w:val="692172FD"/>
    <w:rsid w:val="6A3829EE"/>
    <w:rsid w:val="6A7E5787"/>
    <w:rsid w:val="6A924CB7"/>
    <w:rsid w:val="6AE0292E"/>
    <w:rsid w:val="6B003E38"/>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2EA343D"/>
    <w:rsid w:val="742A605A"/>
    <w:rsid w:val="74D33BA4"/>
    <w:rsid w:val="74ED1B1B"/>
    <w:rsid w:val="750837F0"/>
    <w:rsid w:val="75F93AA0"/>
    <w:rsid w:val="762A73EF"/>
    <w:rsid w:val="7631412E"/>
    <w:rsid w:val="764F62AB"/>
    <w:rsid w:val="765C45EC"/>
    <w:rsid w:val="768A7619"/>
    <w:rsid w:val="7714640F"/>
    <w:rsid w:val="775B4E0E"/>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640E0F"/>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10324</Words>
  <Characters>14668</Characters>
  <Lines>161</Lines>
  <Paragraphs>45</Paragraphs>
  <TotalTime>15</TotalTime>
  <ScaleCrop>false</ScaleCrop>
  <LinksUpToDate>false</LinksUpToDate>
  <CharactersWithSpaces>16015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2025-09-11T04:14:32Z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BB46EABDBB2749749395447164B066B3_12</vt:lpwstr>
  </property>
  <property fmtid="{D5CDD505-2E9C-101B-9397-08002B2CF9AE}" pid="4" name="KSOTemplateDocerSaveRecord">
    <vt:lpwstr>eyJoZGlkIjoiZDdjOTY5OTdmZTMyN2Q2N2E4YTY5NjYyNjAwN2U5MDAiLCJ1c2VySWQiOiIxNDc5MTgxNTcyIn0=</vt:lpwstr>
  </property>
</Properties>
</file>