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巫溪县社会工作服务中心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黑体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一是</w:t>
      </w:r>
      <w:r>
        <w:rPr>
          <w:rFonts w:hint="eastAsia" w:ascii="方正仿宋_GBK" w:hAnsi="方正仿宋_GBK" w:eastAsia="方正仿宋_GBK" w:cs="方正仿宋_GBK"/>
          <w:color w:val="000000"/>
          <w:kern w:val="0"/>
          <w:sz w:val="32"/>
          <w:szCs w:val="32"/>
          <w:lang w:val="en-US" w:eastAsia="zh-CN" w:bidi="ar"/>
        </w:rPr>
        <w:t>指导全县性社会组织党建工作，归口指导全县性行业协会商会党的工作，协调推动行业协会商会深化改革和转型发展。</w:t>
      </w:r>
      <w:r>
        <w:rPr>
          <w:rFonts w:hint="eastAsia" w:ascii="方正仿宋_GBK" w:hAnsi="方正仿宋_GBK" w:eastAsia="方正仿宋_GBK" w:cs="方正仿宋_GBK"/>
          <w:b/>
          <w:bCs/>
          <w:color w:val="000000"/>
          <w:kern w:val="0"/>
          <w:sz w:val="32"/>
          <w:szCs w:val="32"/>
          <w:lang w:val="en-US" w:eastAsia="zh-CN" w:bidi="ar"/>
        </w:rPr>
        <w:t>二是</w:t>
      </w:r>
      <w:r>
        <w:rPr>
          <w:rFonts w:hint="eastAsia" w:ascii="方正仿宋_GBK" w:hAnsi="方正仿宋_GBK" w:eastAsia="方正仿宋_GBK" w:cs="方正仿宋_GBK"/>
          <w:color w:val="000000"/>
          <w:kern w:val="0"/>
          <w:sz w:val="32"/>
          <w:szCs w:val="32"/>
          <w:lang w:val="en-US" w:eastAsia="zh-CN" w:bidi="ar"/>
        </w:rPr>
        <w:t>指导混合所有制企业、非公有制企业和新经济组织、新社会组织、新就业群体党建工作，指导协调相关企业单位、社会组织、就业群体中党员的教育、管理、监督和服务工作，研究完善相关领域群众利益协调机制。</w:t>
      </w:r>
      <w:r>
        <w:rPr>
          <w:rFonts w:hint="eastAsia" w:ascii="方正仿宋_GBK" w:hAnsi="方正仿宋_GBK" w:eastAsia="方正仿宋_GBK" w:cs="方正仿宋_GBK"/>
          <w:b/>
          <w:bCs/>
          <w:color w:val="000000"/>
          <w:kern w:val="0"/>
          <w:sz w:val="32"/>
          <w:szCs w:val="32"/>
          <w:lang w:val="en-US" w:eastAsia="zh-CN" w:bidi="ar"/>
        </w:rPr>
        <w:t>三是</w:t>
      </w:r>
      <w:r>
        <w:rPr>
          <w:rFonts w:hint="eastAsia" w:ascii="方正仿宋_GBK" w:hAnsi="方正仿宋_GBK" w:eastAsia="方正仿宋_GBK" w:cs="方正仿宋_GBK"/>
          <w:color w:val="000000"/>
          <w:kern w:val="0"/>
          <w:sz w:val="32"/>
          <w:szCs w:val="32"/>
          <w:lang w:val="en-US" w:eastAsia="zh-CN" w:bidi="ar"/>
        </w:rPr>
        <w:t>负责全县志愿服务工作的统筹规划、协调指导、督促检查和经验推广。指导社会工作人才队伍建设。联系指导全县志愿服务联合会。</w:t>
      </w:r>
    </w:p>
    <w:p>
      <w:pPr>
        <w:pStyle w:val="6"/>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lang w:eastAsia="zh-CN"/>
        </w:rPr>
        <w:t>（二）</w:t>
      </w:r>
      <w:r>
        <w:rPr>
          <w:rStyle w:val="9"/>
          <w:rFonts w:hint="eastAsia" w:ascii="方正楷体_GBK" w:hAnsi="方正楷体_GBK" w:eastAsia="方正楷体_GBK" w:cs="方正楷体_GBK"/>
          <w:b w:val="0"/>
          <w:bCs/>
          <w:sz w:val="32"/>
          <w:szCs w:val="32"/>
          <w:shd w:val="clear" w:color="auto" w:fill="FFFFFF"/>
        </w:rPr>
        <w:t>机构设置</w:t>
      </w:r>
    </w:p>
    <w:p>
      <w:pPr>
        <w:pStyle w:val="6"/>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楷体" w:hAnsi="楷体" w:eastAsia="楷体" w:cs="楷体"/>
          <w:sz w:val="32"/>
          <w:szCs w:val="32"/>
          <w:shd w:val="clear" w:color="auto" w:fill="FFFFFF"/>
          <w:lang w:val="en-US"/>
        </w:rPr>
      </w:pPr>
      <w:r>
        <w:rPr>
          <w:rFonts w:hint="eastAsia" w:ascii="Times New Roman" w:hAnsi="Times New Roman" w:eastAsia="方正仿宋_GBK" w:cs="方正仿宋_GBK"/>
          <w:sz w:val="32"/>
          <w:szCs w:val="32"/>
          <w:lang w:val="en-US" w:eastAsia="zh-CN"/>
        </w:rPr>
        <w:t>巫溪县社会工作服务中心为公益一类正科级事业单位，编制6名，班子配备1正1副，内设机构领导职数2名。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Times New Roman" w:hAnsi="Times New Roman" w:eastAsia="方正仿宋_GBK" w:cs="Times New Roman"/>
          <w:sz w:val="32"/>
          <w:szCs w:val="32"/>
          <w:lang w:val="en-US" w:eastAsia="zh-CN"/>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度收入总计3.58万元，支出总计</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万元。收、支与2023年度相比，增加3.58万元，增长100.0%，主要原因是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2024年5月机构改革新成立单位，2023年无收支。</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度收入合计3.58万元，与2023年度相比，增加3.58万元，增长100.0%，主要原因是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万元，与2023年度相比，增加3.58万元，增长100.0%，主要原因是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2023年单位未成立，没有相关数据可以比对。</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度财政拨款收、支总计3.58万元。与202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万元，与2023年度相比，增加3.58万元，增长100.0%。主要原因是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sz w:val="32"/>
          <w:szCs w:val="32"/>
          <w:shd w:val="clear" w:color="auto" w:fill="FFFFFF"/>
        </w:rPr>
        <w:t>较年初预算数增加3.58万元，增长100.0%。主要原因是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万元，与2023年度相比，增加3.58万元，增长100.0%。主要原因是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sz w:val="32"/>
          <w:szCs w:val="32"/>
          <w:shd w:val="clear" w:color="auto" w:fill="FFFFFF"/>
        </w:rPr>
        <w:t>较年初预算数增加3.58万元，增长100.0%。主要原因是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color w:val="auto"/>
          <w:sz w:val="32"/>
          <w:szCs w:val="32"/>
          <w:shd w:val="clear" w:color="auto" w:fill="FFFFFF"/>
          <w:lang w:val="en-US" w:eastAsia="zh-CN"/>
        </w:rPr>
        <w:t>2023年无相关数据可以比对</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%，较年初预算数增加3.58万元，增长100.0%，主要原因是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2024单位新成立，人员经费在原单位发放</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万元，与2023年度相比，增加3.58万元，增长100.0%，主要原因是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w:t>
      </w:r>
      <w:r>
        <w:rPr>
          <w:rFonts w:hint="default" w:ascii="Times New Roman" w:hAnsi="Times New Roman" w:eastAsia="方正仿宋_GBK" w:cs="Times New Roman"/>
          <w:color w:val="auto"/>
          <w:sz w:val="32"/>
          <w:szCs w:val="32"/>
          <w:shd w:val="clear" w:color="auto" w:fill="FFFFFF"/>
          <w:lang w:eastAsia="zh-CN"/>
        </w:rPr>
        <w:t>新成立单位，</w:t>
      </w:r>
      <w:r>
        <w:rPr>
          <w:rFonts w:hint="default" w:ascii="Times New Roman" w:hAnsi="Times New Roman" w:eastAsia="方正仿宋_GBK" w:cs="Times New Roman"/>
          <w:color w:val="auto"/>
          <w:sz w:val="32"/>
          <w:szCs w:val="32"/>
          <w:shd w:val="clear" w:color="auto" w:fill="FFFFFF"/>
          <w:lang w:val="en-US" w:eastAsia="zh-CN"/>
        </w:rPr>
        <w:t>2023年无可以比对的相关数据。</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办公费、电费、邮电费、其他商品和服务支出</w:t>
      </w:r>
      <w:r>
        <w:rPr>
          <w:rFonts w:hint="eastAsia" w:ascii="方正仿宋_GBK" w:hAnsi="方正仿宋_GBK" w:eastAsia="方正仿宋_GBK" w:cs="方正仿宋_GBK"/>
          <w:color w:val="auto"/>
          <w:sz w:val="32"/>
          <w:szCs w:val="32"/>
          <w:shd w:val="clear" w:color="auto" w:fill="FFFFFF"/>
          <w:lang w:eastAsia="zh-CN"/>
        </w:rPr>
        <w:t>。</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2024年度无政府性基金预算财政拨款支出。</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trike/>
          <w:dstrike w:val="0"/>
          <w:color w:val="FF0000"/>
          <w:sz w:val="32"/>
          <w:szCs w:val="32"/>
          <w:lang w:val="en-US"/>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0.29</w:t>
      </w:r>
      <w:r>
        <w:rPr>
          <w:rFonts w:hint="default" w:ascii="Times New Roman" w:hAnsi="Times New Roman" w:eastAsia="方正仿宋_GBK" w:cs="Times New Roman"/>
          <w:sz w:val="32"/>
          <w:szCs w:val="32"/>
          <w:shd w:val="clear" w:color="auto" w:fill="FFFFFF"/>
        </w:rPr>
        <w:t>万元，较年初预算数增加0.29万元，增长100.0%，主要原因是</w:t>
      </w:r>
      <w:r>
        <w:rPr>
          <w:rFonts w:hint="eastAsia" w:ascii="Times New Roman" w:hAnsi="Times New Roman" w:eastAsia="方正仿宋_GBK" w:cs="Times New Roman"/>
          <w:b w:val="0"/>
          <w:bCs w:val="0"/>
          <w:strike w:val="0"/>
          <w:dstrike w:val="0"/>
          <w:color w:val="auto"/>
          <w:sz w:val="32"/>
          <w:szCs w:val="32"/>
          <w:shd w:val="clear" w:color="auto" w:fill="FFFFFF"/>
          <w:lang w:val="en-US" w:eastAsia="zh-CN"/>
        </w:rPr>
        <w:t>2024年中心新成立</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较上年支出数增加0.29万元，增长100.0%，主要原因是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2023年单位未成立，无数据。</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本单位不存在因公出国情况。</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本单位不存在因公出国情况。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本单位无公务车购置情况</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eastAsia="zh-CN"/>
        </w:rPr>
        <w:t>新单位刚成立无公务车购置</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没有公务车无此项开支。</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本单位没有公务车。</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0.29</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其他区县到本县交流学习，</w:t>
      </w:r>
      <w:r>
        <w:rPr>
          <w:rFonts w:hint="default" w:ascii="Times New Roman" w:hAnsi="Times New Roman" w:eastAsia="方正仿宋_GBK" w:cs="Times New Roman"/>
          <w:sz w:val="32"/>
          <w:szCs w:val="32"/>
          <w:shd w:val="clear" w:color="auto" w:fill="FFFFFF"/>
        </w:rPr>
        <w:t>费用支出较年初预算数增加0.29万元，增长100.0%，主要原因是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2024年5月新成立，此前无相关开支。</w:t>
      </w:r>
      <w:r>
        <w:rPr>
          <w:rFonts w:hint="default" w:ascii="Times New Roman" w:hAnsi="Times New Roman" w:eastAsia="方正仿宋_GBK" w:cs="Times New Roman"/>
          <w:sz w:val="32"/>
          <w:szCs w:val="32"/>
          <w:shd w:val="clear" w:color="auto" w:fill="FFFFFF"/>
        </w:rPr>
        <w:t>较上年支出数增加0.29万元，增长100.0%，主要原因是</w:t>
      </w:r>
      <w:r>
        <w:rPr>
          <w:rFonts w:hint="default" w:ascii="Times New Roman" w:hAnsi="Times New Roman" w:eastAsia="方正仿宋_GBK" w:cs="Times New Roman"/>
          <w:sz w:val="32"/>
          <w:szCs w:val="32"/>
          <w:shd w:val="clear" w:color="auto" w:fill="FFFFFF"/>
          <w:lang w:val="en-US" w:eastAsia="zh-CN"/>
        </w:rPr>
        <w:t>2023年单位还未成立。</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31</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93.35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2023年本单位未成立，2024年无该项支出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sz w:val="32"/>
          <w:szCs w:val="32"/>
          <w:shd w:val="clear" w:color="auto" w:fill="FFFFFF"/>
        </w:rPr>
        <w:t>万元，与2023年度相比，增加0.14万元，增长100.0%，主要原因是</w:t>
      </w:r>
      <w:r>
        <w:rPr>
          <w:rFonts w:hint="default" w:ascii="Times New Roman" w:hAnsi="Times New Roman" w:eastAsia="方正仿宋_GBK" w:cs="Times New Roman"/>
          <w:sz w:val="32"/>
          <w:szCs w:val="32"/>
          <w:shd w:val="clear" w:color="auto" w:fill="FFFFFF"/>
          <w:lang w:val="en-US" w:eastAsia="zh-CN"/>
        </w:rPr>
        <w:t>2023年单位未成立，2024年新成立举办了相关培训</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default" w:ascii="方正仿宋_GBK" w:hAnsi="方正仿宋_GBK" w:eastAsia="方正仿宋_GBK" w:cs="方正仿宋_GBK"/>
          <w:b w:val="0"/>
          <w:bCs w:val="0"/>
          <w:color w:val="auto"/>
          <w:sz w:val="32"/>
          <w:szCs w:val="32"/>
        </w:rPr>
        <w:t>按照部门决算列报口径，我单位不在机关运行经费统计范围之内。</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strike/>
          <w:dstrike w:val="0"/>
          <w:color w:val="FF000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eastAsia="zh-CN"/>
        </w:rPr>
        <w:t>属于社会工作部下属事业单位，部门整体绩效由社会工作部统一进行。</w:t>
      </w:r>
      <w:r>
        <w:rPr>
          <w:rFonts w:hint="eastAsia" w:ascii="方正仿宋_GBK" w:hAnsi="方正仿宋_GBK" w:eastAsia="方正仿宋_GBK" w:cs="方正仿宋_GBK"/>
          <w:b w:val="0"/>
          <w:bCs w:val="0"/>
          <w:color w:val="auto"/>
          <w:kern w:val="0"/>
          <w:sz w:val="32"/>
          <w:szCs w:val="32"/>
          <w:shd w:val="clear" w:fill="FFFFFF"/>
          <w:lang w:val="en-US" w:eastAsia="zh-CN"/>
        </w:rPr>
        <w:t>我单位本年无一、二级项目。</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trike/>
          <w:dstrike w:val="0"/>
          <w:color w:val="auto"/>
          <w:kern w:val="0"/>
          <w:sz w:val="32"/>
          <w:szCs w:val="32"/>
          <w:shd w:val="clear" w:fill="FFFFFF"/>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r>
        <w:rPr>
          <w:rStyle w:val="16"/>
          <w:rFonts w:hint="eastAsia" w:ascii="方正仿宋_GBK" w:hAnsi="方正仿宋_GBK" w:eastAsia="方正仿宋_GBK" w:cs="方正仿宋_GBK"/>
          <w:b w:val="0"/>
          <w:bCs w:val="0"/>
          <w:color w:val="auto"/>
          <w:sz w:val="32"/>
          <w:szCs w:val="32"/>
          <w:shd w:val="clear" w:fill="FFFFFF"/>
          <w:lang w:eastAsia="zh-CN"/>
        </w:rPr>
        <w:t>。</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12"/>
          <w:rFonts w:hint="eastAsia" w:ascii="方正仿宋_GBK" w:hAnsi="方正仿宋_GBK" w:eastAsia="方正仿宋_GBK" w:cs="方正仿宋_GBK"/>
          <w:b/>
          <w:bCs/>
          <w:color w:val="auto"/>
          <w:sz w:val="32"/>
          <w:szCs w:val="32"/>
          <w:shd w:val="clear" w:fill="FFFFFF"/>
          <w:lang w:val="en-US" w:eastAsia="zh-CN"/>
        </w:rPr>
      </w:pPr>
      <w:r>
        <w:rPr>
          <w:rFonts w:hint="eastAsia" w:ascii="方正仿宋_GBK" w:hAnsi="方正仿宋_GBK" w:eastAsia="方正仿宋_GBK" w:cs="方正仿宋_GBK"/>
          <w:color w:val="auto"/>
          <w:sz w:val="32"/>
          <w:szCs w:val="32"/>
          <w:highlight w:val="none"/>
          <w:shd w:val="clear" w:color="auto" w:fill="FFFFFF"/>
          <w:lang w:val="en-US" w:eastAsia="zh-CN" w:bidi="ar-SA"/>
        </w:rPr>
        <w:t>县财政局未委托第三方对我单位开展绩效评价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51688036</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2"/>
          <w:rFonts w:hint="eastAsia" w:ascii="方正仿宋_GBK" w:hAnsi="方正仿宋_GBK" w:eastAsia="方正仿宋_GBK" w:cs="方正仿宋_GBK"/>
          <w:b/>
          <w:bCs/>
          <w:sz w:val="32"/>
          <w:szCs w:val="32"/>
          <w:shd w:val="clear" w:fill="FFFF00"/>
        </w:rPr>
      </w:pPr>
      <w:bookmarkStart w:id="0" w:name="_GoBack"/>
      <w:bookmarkEnd w:id="0"/>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2"/>
          <w:rFonts w:hint="eastAsia" w:ascii="方正仿宋_GBK" w:hAnsi="方正仿宋_GBK" w:eastAsia="方正仿宋_GBK" w:cs="方正仿宋_GBK"/>
          <w:b/>
          <w:bCs/>
          <w:sz w:val="32"/>
          <w:szCs w:val="32"/>
          <w:shd w:val="clear" w:fill="FFFF00"/>
          <w:lang w:val="en-US" w:eastAsia="zh-CN"/>
        </w:rPr>
        <w:sectPr>
          <w:footerReference r:id="rId3" w:type="default"/>
          <w:pgSz w:w="11915" w:h="16840"/>
          <w:pgMar w:top="1984" w:right="1446" w:bottom="1644" w:left="1446" w:header="851" w:footer="1474" w:gutter="0"/>
          <w:pgNumType w:fmt="decimal"/>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巫溪县社会工作服务中心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3.58</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巫溪县社会工作服务中心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巫溪县社会工作服务中心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巫溪县社会工作服务中心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巫溪县社会工作服务中心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社会工作事务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巫溪县社会工作服务中心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巫溪县社会工作服务中心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eastAsia="zh-CN"/>
        </w:rPr>
        <w:t>本年无政府性基金预算财政拨款收支，故本表无数据</w:t>
      </w: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巫溪县社会工作服务中心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巫溪县社会工作服务中心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BA727A3"/>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BA5183C"/>
    <w:rsid w:val="2C161D32"/>
    <w:rsid w:val="2C2D3EC7"/>
    <w:rsid w:val="2C6762A3"/>
    <w:rsid w:val="2D8D2A49"/>
    <w:rsid w:val="2DD119E4"/>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7FF28D"/>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278601"/>
    <w:rsid w:val="6D903FF5"/>
    <w:rsid w:val="6DA955B8"/>
    <w:rsid w:val="6DE346AB"/>
    <w:rsid w:val="6EEBAD63"/>
    <w:rsid w:val="6F7F6A2D"/>
    <w:rsid w:val="6FB442D1"/>
    <w:rsid w:val="6FFB2E76"/>
    <w:rsid w:val="71C34D91"/>
    <w:rsid w:val="71ED38AA"/>
    <w:rsid w:val="720229AA"/>
    <w:rsid w:val="72DB435C"/>
    <w:rsid w:val="735F1282"/>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9FA760"/>
    <w:rsid w:val="7EF70DDF"/>
    <w:rsid w:val="7FA960B8"/>
    <w:rsid w:val="7FBDED85"/>
    <w:rsid w:val="7FFEB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Calibri" w:hAnsi="Calibri" w:eastAsia="仿宋_GB2312"/>
      <w:kern w:val="2"/>
      <w:sz w:val="30"/>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 w:type="character" w:customStyle="1" w:styleId="16">
    <w:name w:val="22"/>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2024-07-13T02:00:00Z</dcterms:created>
  <dc:creator>Administrator</dc:creator>
  <cp:lastModifiedBy>guest</cp:lastModifiedBy>
  <dcterms:modified xsi:type="dcterms:W3CDTF">2025-09-17T15:22:59Z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9EDAFD8FD9424A54844071572B3E9A06_13</vt:lpwstr>
  </property>
</Properties>
</file>