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p>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巫溪县委员会社会工作部（本级）</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pPr>
      <w:r>
        <w:rPr>
          <w:rFonts w:hint="eastAsia" w:ascii="方正仿宋_GBK" w:hAnsi="方正仿宋_GBK" w:eastAsia="方正仿宋_GBK" w:cs="方正仿宋_GBK"/>
          <w:color w:val="000000"/>
          <w:kern w:val="0"/>
          <w:sz w:val="32"/>
          <w:szCs w:val="32"/>
          <w:lang w:val="en-US" w:eastAsia="zh-CN" w:bidi="ar"/>
        </w:rPr>
        <w:t>县委社会工作部全面贯彻落实党中央有关方针政策、决策部署和市委、县委工作要求。</w:t>
      </w:r>
      <w:r>
        <w:rPr>
          <w:rFonts w:hint="eastAsia" w:ascii="方正仿宋_GBK" w:hAnsi="方正仿宋_GBK" w:eastAsia="方正仿宋_GBK" w:cs="方正仿宋_GBK"/>
          <w:b/>
          <w:bCs/>
          <w:color w:val="000000"/>
          <w:kern w:val="0"/>
          <w:sz w:val="32"/>
          <w:szCs w:val="32"/>
          <w:lang w:val="en-US" w:eastAsia="zh-CN" w:bidi="ar"/>
        </w:rPr>
        <w:t>一是</w:t>
      </w:r>
      <w:r>
        <w:rPr>
          <w:rFonts w:hint="eastAsia" w:ascii="方正仿宋_GBK" w:hAnsi="方正仿宋_GBK" w:eastAsia="方正仿宋_GBK" w:cs="方正仿宋_GBK"/>
          <w:color w:val="000000"/>
          <w:kern w:val="0"/>
          <w:sz w:val="32"/>
          <w:szCs w:val="32"/>
          <w:lang w:val="en-US" w:eastAsia="zh-CN" w:bidi="ar"/>
        </w:rPr>
        <w:t>研究相关理论、政策和规划，贯彻落实相关法规规章，拟订规范性文件并组织实施。深入调查研究，及时向县委报告工作情况并提出建议。统筹推进社会工作领域改革工作。</w:t>
      </w:r>
      <w:r>
        <w:rPr>
          <w:rFonts w:hint="eastAsia" w:ascii="方正仿宋_GBK" w:hAnsi="方正仿宋_GBK" w:eastAsia="方正仿宋_GBK" w:cs="方正仿宋_GBK"/>
          <w:b/>
          <w:bCs/>
          <w:color w:val="000000"/>
          <w:kern w:val="0"/>
          <w:sz w:val="32"/>
          <w:szCs w:val="32"/>
          <w:lang w:val="en-US" w:eastAsia="zh-CN" w:bidi="ar"/>
        </w:rPr>
        <w:t>二是</w:t>
      </w:r>
      <w:r>
        <w:rPr>
          <w:rFonts w:hint="eastAsia" w:ascii="方正仿宋_GBK" w:hAnsi="方正仿宋_GBK" w:eastAsia="方正仿宋_GBK" w:cs="方正仿宋_GBK"/>
          <w:color w:val="000000"/>
          <w:kern w:val="0"/>
          <w:sz w:val="32"/>
          <w:szCs w:val="32"/>
          <w:lang w:val="en-US" w:eastAsia="zh-CN" w:bidi="ar"/>
        </w:rPr>
        <w:t>统筹指导群众利益协调、诉求表达、矛盾调处、权益保障等人民信访工作，协调解决人民群众急难愁盼的重大问题。指导人民建议征集工作，负责征集、办理公民、法人和其他组织提出的意见建议，向县委、县政府及时反映公民、法人和其他组织提出的重要意见建议。</w:t>
      </w:r>
      <w:r>
        <w:rPr>
          <w:rFonts w:hint="eastAsia" w:ascii="方正仿宋_GBK" w:hAnsi="方正仿宋_GBK" w:eastAsia="方正仿宋_GBK" w:cs="方正仿宋_GBK"/>
          <w:b/>
          <w:bCs/>
          <w:color w:val="000000"/>
          <w:kern w:val="0"/>
          <w:sz w:val="32"/>
          <w:szCs w:val="32"/>
          <w:lang w:val="en-US" w:eastAsia="zh-CN" w:bidi="ar"/>
        </w:rPr>
        <w:t>三是</w:t>
      </w:r>
      <w:r>
        <w:rPr>
          <w:rFonts w:hint="eastAsia" w:ascii="方正仿宋_GBK" w:hAnsi="方正仿宋_GBK" w:eastAsia="方正仿宋_GBK" w:cs="方正仿宋_GBK"/>
          <w:color w:val="000000"/>
          <w:kern w:val="0"/>
          <w:sz w:val="32"/>
          <w:szCs w:val="32"/>
          <w:lang w:val="en-US" w:eastAsia="zh-CN" w:bidi="ar"/>
        </w:rPr>
        <w:t>统筹推进党建引领基层治理和基层政权建设，健全和落实相关领导体制和工作机制，协调推进城乡社区治理体系和治理能力建设，统筹推进基层智治工作，推动基层民主政治建设，指导监督基层群众自治制度的有效实施，健全基层群众自治机制。</w:t>
      </w:r>
      <w:r>
        <w:rPr>
          <w:rFonts w:hint="eastAsia" w:ascii="方正仿宋_GBK" w:hAnsi="方正仿宋_GBK" w:eastAsia="方正仿宋_GBK" w:cs="方正仿宋_GBK"/>
          <w:b/>
          <w:bCs/>
          <w:color w:val="000000"/>
          <w:kern w:val="0"/>
          <w:sz w:val="32"/>
          <w:szCs w:val="32"/>
          <w:lang w:val="en-US" w:eastAsia="zh-CN" w:bidi="ar"/>
        </w:rPr>
        <w:t>四是</w:t>
      </w:r>
      <w:r>
        <w:rPr>
          <w:rFonts w:hint="eastAsia" w:ascii="方正仿宋_GBK" w:hAnsi="方正仿宋_GBK" w:eastAsia="方正仿宋_GBK" w:cs="方正仿宋_GBK"/>
          <w:color w:val="000000"/>
          <w:kern w:val="0"/>
          <w:sz w:val="32"/>
          <w:szCs w:val="32"/>
          <w:lang w:val="en-US" w:eastAsia="zh-CN" w:bidi="ar"/>
        </w:rPr>
        <w:t>指导全县性社会组织党建工作，归口指导全县性行业协会商会党的工作，协调推动行业协会商会深化改革和转型发展。</w:t>
      </w:r>
      <w:r>
        <w:rPr>
          <w:rFonts w:hint="eastAsia" w:ascii="方正仿宋_GBK" w:hAnsi="方正仿宋_GBK" w:eastAsia="方正仿宋_GBK" w:cs="方正仿宋_GBK"/>
          <w:b/>
          <w:bCs/>
          <w:color w:val="000000"/>
          <w:kern w:val="0"/>
          <w:sz w:val="32"/>
          <w:szCs w:val="32"/>
          <w:lang w:val="en-US" w:eastAsia="zh-CN" w:bidi="ar"/>
        </w:rPr>
        <w:t>五是</w:t>
      </w:r>
      <w:r>
        <w:rPr>
          <w:rFonts w:hint="eastAsia" w:ascii="方正仿宋_GBK" w:hAnsi="方正仿宋_GBK" w:eastAsia="方正仿宋_GBK" w:cs="方正仿宋_GBK"/>
          <w:color w:val="000000"/>
          <w:kern w:val="0"/>
          <w:sz w:val="32"/>
          <w:szCs w:val="32"/>
          <w:lang w:val="en-US" w:eastAsia="zh-CN" w:bidi="ar"/>
        </w:rPr>
        <w:t>指导混合所有制企业、非公有制企业和新经济组织、新社会组织、新就业群体党建工作，指导协调相关企业单位、社会组织、就业群体中党员的教育、管理、监督和服务工作，研究完善相关领域群众利益协调机制。</w:t>
      </w:r>
      <w:r>
        <w:rPr>
          <w:rFonts w:hint="eastAsia" w:ascii="方正仿宋_GBK" w:hAnsi="方正仿宋_GBK" w:eastAsia="方正仿宋_GBK" w:cs="方正仿宋_GBK"/>
          <w:b/>
          <w:bCs/>
          <w:color w:val="000000"/>
          <w:kern w:val="0"/>
          <w:sz w:val="32"/>
          <w:szCs w:val="32"/>
          <w:lang w:val="en-US" w:eastAsia="zh-CN" w:bidi="ar"/>
        </w:rPr>
        <w:t>六是</w:t>
      </w:r>
      <w:r>
        <w:rPr>
          <w:rFonts w:hint="eastAsia" w:ascii="方正仿宋_GBK" w:hAnsi="方正仿宋_GBK" w:eastAsia="方正仿宋_GBK" w:cs="方正仿宋_GBK"/>
          <w:color w:val="000000"/>
          <w:kern w:val="0"/>
          <w:sz w:val="32"/>
          <w:szCs w:val="32"/>
          <w:lang w:val="en-US" w:eastAsia="zh-CN" w:bidi="ar"/>
        </w:rPr>
        <w:t>负责全县志愿服务工作的统筹规划、协调指导、督促检查和经验推广。指导社会工作人才队伍建设。联系指导全县志愿服务联合会。</w:t>
      </w:r>
    </w:p>
    <w:p>
      <w:pPr>
        <w:pStyle w:val="6"/>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县委社会工作部于</w:t>
      </w:r>
      <w:r>
        <w:rPr>
          <w:rFonts w:hint="eastAsia" w:ascii="Times New Roman" w:hAnsi="Times New Roman" w:eastAsia="方正仿宋_GBK" w:cs="方正仿宋_GBK"/>
          <w:sz w:val="32"/>
          <w:szCs w:val="32"/>
          <w:lang w:val="en-US" w:eastAsia="zh"/>
        </w:rPr>
        <w:t>2024</w:t>
      </w:r>
      <w:r>
        <w:rPr>
          <w:rFonts w:hint="eastAsia" w:ascii="Times New Roman" w:hAnsi="Times New Roman" w:eastAsia="方正仿宋_GBK" w:cs="方正仿宋_GBK"/>
          <w:sz w:val="32"/>
          <w:szCs w:val="32"/>
          <w:lang w:val="en-US" w:eastAsia="zh-CN"/>
        </w:rPr>
        <w:t>年5月21日正式挂牌成立，</w:t>
      </w:r>
      <w:r>
        <w:rPr>
          <w:rFonts w:hint="eastAsia" w:ascii="方正仿宋_GBK" w:hAnsi="方正仿宋_GBK" w:eastAsia="方正仿宋_GBK" w:cs="方正仿宋_GBK"/>
          <w:color w:val="000000"/>
          <w:kern w:val="0"/>
          <w:sz w:val="32"/>
          <w:szCs w:val="32"/>
          <w:lang w:val="en-US" w:eastAsia="zh-CN" w:bidi="ar"/>
        </w:rPr>
        <w:t>为</w:t>
      </w:r>
      <w:r>
        <w:rPr>
          <w:rFonts w:hint="eastAsia" w:eastAsia="方正仿宋_GBK" w:cs="Times New Roman"/>
          <w:color w:val="000000"/>
          <w:kern w:val="0"/>
          <w:sz w:val="32"/>
          <w:szCs w:val="32"/>
          <w:lang w:val="en-US" w:eastAsia="zh-CN" w:bidi="ar"/>
        </w:rPr>
        <w:t>正科</w:t>
      </w:r>
      <w:r>
        <w:rPr>
          <w:rFonts w:hint="eastAsia" w:ascii="方正仿宋_GBK" w:hAnsi="方正仿宋_GBK" w:eastAsia="方正仿宋_GBK" w:cs="方正仿宋_GBK"/>
          <w:color w:val="000000"/>
          <w:kern w:val="0"/>
          <w:sz w:val="32"/>
          <w:szCs w:val="32"/>
          <w:lang w:val="en-US" w:eastAsia="zh-CN" w:bidi="ar"/>
        </w:rPr>
        <w:t>级</w:t>
      </w:r>
      <w:r>
        <w:rPr>
          <w:rFonts w:hint="eastAsia" w:ascii="Times New Roman" w:hAnsi="Times New Roman" w:eastAsia="方正仿宋_GBK" w:cs="方正仿宋_GBK"/>
          <w:sz w:val="32"/>
          <w:szCs w:val="32"/>
          <w:lang w:val="en-US" w:eastAsia="zh-CN"/>
        </w:rPr>
        <w:t>单位。设立综合科、基层治理科、“两企三新”党建科、志愿服务科</w:t>
      </w:r>
      <w:r>
        <w:rPr>
          <w:rFonts w:hint="eastAsia" w:ascii="Times New Roman" w:hAnsi="Times New Roman" w:eastAsia="方正仿宋_GBK" w:cs="方正仿宋_GBK"/>
          <w:color w:val="000000"/>
          <w:kern w:val="0"/>
          <w:sz w:val="32"/>
          <w:szCs w:val="32"/>
          <w:lang w:val="en-US" w:eastAsia="zh-CN" w:bidi="ar"/>
        </w:rPr>
        <w:t>共计</w:t>
      </w:r>
      <w:r>
        <w:rPr>
          <w:rFonts w:hint="eastAsia" w:ascii="Times New Roman" w:hAnsi="Times New Roman" w:eastAsia="方正仿宋_GBK" w:cs="方正仿宋_GBK"/>
          <w:sz w:val="32"/>
          <w:szCs w:val="32"/>
          <w:lang w:val="en-US" w:eastAsia="zh-CN"/>
        </w:rPr>
        <w:t>4个</w:t>
      </w:r>
      <w:r>
        <w:rPr>
          <w:rFonts w:hint="eastAsia" w:ascii="Times New Roman" w:hAnsi="Times New Roman" w:eastAsia="方正仿宋_GBK" w:cs="方正仿宋_GBK"/>
          <w:color w:val="000000"/>
          <w:kern w:val="0"/>
          <w:sz w:val="32"/>
          <w:szCs w:val="32"/>
          <w:lang w:val="en-US" w:eastAsia="zh-CN" w:bidi="ar"/>
        </w:rPr>
        <w:t>内设机构</w:t>
      </w:r>
      <w:r>
        <w:rPr>
          <w:rFonts w:hint="eastAsia" w:ascii="Times New Roman" w:hAnsi="Times New Roman" w:eastAsia="方正仿宋_GBK" w:cs="方正仿宋_GBK"/>
          <w:sz w:val="32"/>
          <w:szCs w:val="32"/>
          <w:lang w:val="en-US" w:eastAsia="zh-CN"/>
        </w:rPr>
        <w:t>，行政编制9名。</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9"/>
          <w:rFonts w:hint="default"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642" w:firstLineChars="200"/>
        <w:textAlignment w:val="auto"/>
        <w:rPr>
          <w:rFonts w:hint="default" w:ascii="Times New Roman" w:hAnsi="Times New Roman" w:eastAsia="方正仿宋_GBK" w:cs="Times New Roman"/>
          <w:sz w:val="32"/>
          <w:szCs w:val="32"/>
          <w:lang w:val="en-US" w:eastAsia="zh-CN"/>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度收入总计37.21万元，支出总计</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万元。收、支与2023年度相比，增加37.21万元，增长100.0%，主要原因是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2024年机构改革新成立单位，2023年度数据均为0。</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度收入合计37.21万元，与2023年度相比，增加37.21万元，增长100.0%，主要原因是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万元，占19.52%；项目支出</w:t>
      </w:r>
      <w:r>
        <w:rPr>
          <w:rFonts w:hint="default" w:ascii="Times New Roman" w:hAnsi="Times New Roman" w:eastAsia="方正仿宋_GBK" w:cs="Times New Roman"/>
          <w:sz w:val="32"/>
          <w:szCs w:val="32"/>
        </w:rPr>
        <w:t>29.95</w:t>
      </w:r>
      <w:r>
        <w:rPr>
          <w:rFonts w:hint="default" w:ascii="Times New Roman" w:hAnsi="Times New Roman" w:eastAsia="方正仿宋_GBK" w:cs="Times New Roman"/>
          <w:sz w:val="32"/>
          <w:szCs w:val="32"/>
          <w:shd w:val="clear" w:color="auto" w:fill="FFFFFF"/>
        </w:rPr>
        <w:t>万元，占80.48%；经营支出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9"/>
          <w:rFonts w:hint="default" w:ascii="Times New Roman" w:hAnsi="Times New Roman" w:eastAsia="方正仿宋_GBK" w:cs="Times New Roman"/>
          <w:sz w:val="32"/>
          <w:szCs w:val="32"/>
          <w:shd w:val="clear" w:color="auto" w:fill="FFFFFF"/>
        </w:rPr>
        <w:t>4.结转结余情况</w:t>
      </w:r>
      <w:r>
        <w:rPr>
          <w:rFonts w:hint="eastAsia" w:ascii="Times New Roman" w:hAnsi="Times New Roman" w:eastAsia="方正仿宋_GBK" w:cs="Times New Roman"/>
          <w:b/>
          <w:bCs/>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w:t>
      </w:r>
      <w:r>
        <w:rPr>
          <w:rFonts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年机构改革新成立单位。</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度财政拨款收、支总计37.21万元。与202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较年初预算数增加37.21万元，增长100.0%。主要原因是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万元，与2023年度相比，增加37.21万元，增长100.0%。主要原因是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较年初预算数增加37.21万元，增长100.0%。主要原因是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37.21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%，较年初预算数增加37.21万元，增长100.0%，主要原因是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2024年机构改革新成立单位，2024年人员经费在原单位发放。</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万元，与2023年度相比，增加7.26万元，增长100.0%，主要原因是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印刷费、办公费、邮电费、物业管理费、差旅费等。</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val="en-US" w:eastAsia="zh-CN"/>
        </w:rPr>
        <w:t>本单位2024年无政府性基金预算财政拨款支出。</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2024年机构改革新成立单位，暂无“三公”经费开支情况。</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2023年不存在该单位。</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新成立单位暂无支出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2023年单位未成立。</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本单位没有购置公务车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2023年单位未成立。</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没有公务车</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2023年单位未成立，无该项支出。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没有公务接待</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pPr>
        <w:pStyle w:val="10"/>
        <w:keepNext w:val="0"/>
        <w:keepLines w:val="0"/>
        <w:pageBreakBefore w:val="0"/>
        <w:kinsoku/>
        <w:wordWrap/>
        <w:overflowPunct/>
        <w:topLinePunct w:val="0"/>
        <w:autoSpaceDE/>
        <w:autoSpaceDN/>
        <w:bidi w:val="0"/>
        <w:adjustRightInd/>
        <w:spacing w:beforeAutospacing="0" w:afterAutospacing="0" w:line="594"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0.04</w:t>
      </w:r>
      <w:r>
        <w:rPr>
          <w:rFonts w:hint="default" w:ascii="Times New Roman" w:hAnsi="Times New Roman" w:eastAsia="方正仿宋_GBK" w:cs="Times New Roman"/>
          <w:sz w:val="32"/>
          <w:szCs w:val="32"/>
          <w:shd w:val="clear" w:color="auto" w:fill="FFFFFF"/>
        </w:rPr>
        <w:t>万元，与2023年度相比，增加0.04万元，增长100.0%，主要原因是</w:t>
      </w:r>
      <w:r>
        <w:rPr>
          <w:rFonts w:hint="default" w:ascii="Times New Roman" w:hAnsi="Times New Roman" w:eastAsia="方正仿宋_GBK" w:cs="Times New Roman"/>
          <w:sz w:val="32"/>
          <w:szCs w:val="32"/>
          <w:shd w:val="clear" w:color="auto" w:fill="FFFFFF"/>
          <w:lang w:val="en-US" w:eastAsia="zh-CN"/>
        </w:rPr>
        <w:t>2023年单位未成立无开支</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1.90</w:t>
      </w:r>
      <w:r>
        <w:rPr>
          <w:rFonts w:hint="default" w:ascii="Times New Roman" w:hAnsi="Times New Roman" w:eastAsia="方正仿宋_GBK" w:cs="Times New Roman"/>
          <w:sz w:val="32"/>
          <w:szCs w:val="32"/>
          <w:shd w:val="clear" w:color="auto" w:fill="FFFFFF"/>
        </w:rPr>
        <w:t>万元，与2023年度相比，增加1.90万元，增长100.0%，主要原因是</w:t>
      </w:r>
      <w:r>
        <w:rPr>
          <w:rFonts w:hint="default" w:ascii="Times New Roman" w:hAnsi="Times New Roman" w:eastAsia="方正仿宋_GBK" w:cs="Times New Roman"/>
          <w:sz w:val="32"/>
          <w:szCs w:val="32"/>
          <w:shd w:val="clear" w:color="auto" w:fill="FFFFFF"/>
          <w:lang w:val="en-US" w:eastAsia="zh-CN"/>
        </w:rPr>
        <w:t>2023年单位未成立无开支</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w:t>
      </w:r>
      <w:r>
        <w:rPr>
          <w:rFonts w:hint="default" w:ascii="Times New Roman" w:hAnsi="Times New Roman" w:eastAsia="方正仿宋_GBK" w:cs="Times New Roman"/>
          <w:color w:val="auto"/>
          <w:sz w:val="32"/>
          <w:szCs w:val="32"/>
          <w:shd w:val="clear" w:color="auto" w:fill="FFFFFF"/>
          <w:lang w:val="en-US" w:eastAsia="zh-CN"/>
        </w:rPr>
        <w:t>1.01万元，印刷费0.5万元，邮电费1.5万元，物业管理费1万元，差旅费1.98万元，公会经费1万元，水费电费等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机关运行经费较上年支出数增加7.26万元，增长100.0%，主要原因是</w:t>
      </w:r>
      <w:r>
        <w:rPr>
          <w:rFonts w:hint="default" w:ascii="Times New Roman" w:hAnsi="Times New Roman" w:eastAsia="方正仿宋_GBK" w:cs="Times New Roman"/>
          <w:color w:val="auto"/>
          <w:sz w:val="32"/>
          <w:szCs w:val="32"/>
          <w:shd w:val="clear" w:color="auto" w:fill="FFFFFF"/>
          <w:lang w:val="en-US" w:eastAsia="zh-CN"/>
        </w:rPr>
        <w:t>2023年单位未成立无开支。</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0"/>
        <w:keepNext w:val="0"/>
        <w:keepLines w:val="0"/>
        <w:pageBreakBefore w:val="0"/>
        <w:kinsoku/>
        <w:wordWrap/>
        <w:overflowPunct/>
        <w:topLinePunct w:val="0"/>
        <w:autoSpaceDE/>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6.23万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eastAsia="zh-CN"/>
        </w:rPr>
        <w:t>单位新成立，采购了一批电脑、打印机、办公桌椅等。</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w:t>
      </w:r>
      <w:r>
        <w:rPr>
          <w:rStyle w:val="9"/>
          <w:rFonts w:hint="default" w:ascii="Times New Roman" w:hAnsi="Times New Roman" w:eastAsia="方正黑体_GBK" w:cs="Times New Roman"/>
          <w:b w:val="0"/>
          <w:bCs/>
          <w:sz w:val="32"/>
          <w:szCs w:val="32"/>
          <w:shd w:val="clear" w:color="auto" w:fill="FFFFFF"/>
          <w:lang w:val="en-US" w:eastAsia="zh-CN" w:bidi="ar-SA"/>
        </w:rPr>
        <w:t>2024</w:t>
      </w:r>
      <w:r>
        <w:rPr>
          <w:rStyle w:val="9"/>
          <w:rFonts w:hint="eastAsia" w:ascii="方正黑体_GBK" w:hAnsi="方正黑体_GBK" w:eastAsia="方正黑体_GBK" w:cs="方正黑体_GBK"/>
          <w:b w:val="0"/>
          <w:bCs/>
          <w:sz w:val="32"/>
          <w:szCs w:val="32"/>
          <w:shd w:val="clear" w:color="auto" w:fill="FFFFFF"/>
          <w:lang w:val="en-US" w:eastAsia="zh-CN" w:bidi="ar-SA"/>
        </w:rPr>
        <w:t>年度预算绩效管理情况说明</w:t>
      </w:r>
    </w:p>
    <w:p>
      <w:pPr>
        <w:pStyle w:val="13"/>
        <w:keepNext w:val="0"/>
        <w:keepLines w:val="0"/>
        <w:pageBreakBefore w:val="0"/>
        <w:widowControl/>
        <w:kinsoku/>
        <w:wordWrap/>
        <w:overflowPunct/>
        <w:topLinePunct w:val="0"/>
        <w:autoSpaceDE/>
        <w:autoSpaceDN/>
        <w:bidi w:val="0"/>
        <w:adjustRightInd/>
        <w:snapToGrid/>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（一）单位自评情况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根据预算绩效管理要求，我单位对部门整体开展了绩效自评，涉及财政拨款项目支出资金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40.79</w:t>
      </w:r>
      <w:r>
        <w:rPr>
          <w:rFonts w:hint="default" w:ascii="Times New Roman" w:hAnsi="Times New Roman" w:eastAsia="方正仿宋_GBK" w:cs="Times New Roman"/>
          <w:kern w:val="0"/>
          <w:sz w:val="32"/>
          <w:szCs w:val="32"/>
          <w:shd w:val="clear" w:fill="FFFFFF"/>
        </w:rPr>
        <w:t>万元</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jc w:val="lef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本单位无项目支出绩效自评表</w:t>
      </w:r>
    </w:p>
    <w:p>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部门绩效评价情况</w:t>
      </w:r>
    </w:p>
    <w:p>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bCs/>
          <w:strike/>
          <w:dstrike w:val="0"/>
          <w:color w:val="FF0000"/>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lang w:val="en-US" w:eastAsia="zh-CN"/>
        </w:rPr>
        <w:t>2024年</w:t>
      </w:r>
      <w:r>
        <w:rPr>
          <w:rFonts w:hint="eastAsia" w:ascii="方正仿宋_GBK" w:hAnsi="方正仿宋_GBK" w:eastAsia="方正仿宋_GBK" w:cs="方正仿宋_GBK"/>
          <w:b w:val="0"/>
          <w:bCs w:val="0"/>
          <w:color w:val="auto"/>
          <w:kern w:val="0"/>
          <w:sz w:val="32"/>
          <w:szCs w:val="32"/>
          <w:shd w:val="clear" w:fill="FFFFFF"/>
        </w:rPr>
        <w:t>我</w:t>
      </w:r>
      <w:r>
        <w:rPr>
          <w:rFonts w:hint="eastAsia" w:ascii="方正仿宋_GBK" w:hAnsi="方正仿宋_GBK" w:eastAsia="方正仿宋_GBK" w:cs="方正仿宋_GBK"/>
          <w:b w:val="0"/>
          <w:bCs w:val="0"/>
          <w:color w:val="auto"/>
          <w:kern w:val="0"/>
          <w:sz w:val="32"/>
          <w:szCs w:val="32"/>
          <w:shd w:val="clear" w:fill="FFFFFF"/>
          <w:lang w:val="en-US" w:eastAsia="zh-CN"/>
        </w:rPr>
        <w:t>单位</w:t>
      </w:r>
      <w:r>
        <w:rPr>
          <w:rFonts w:hint="eastAsia" w:ascii="方正仿宋_GBK" w:hAnsi="方正仿宋_GBK" w:eastAsia="方正仿宋_GBK" w:cs="方正仿宋_GBK"/>
          <w:b w:val="0"/>
          <w:bCs w:val="0"/>
          <w:color w:val="auto"/>
          <w:kern w:val="0"/>
          <w:sz w:val="32"/>
          <w:szCs w:val="32"/>
          <w:shd w:val="clear" w:fill="FFFFFF"/>
          <w:lang w:eastAsia="zh-CN"/>
        </w:rPr>
        <w:t>未组织开展绩效评价</w:t>
      </w:r>
    </w:p>
    <w:p>
      <w:pPr>
        <w:pStyle w:val="13"/>
        <w:keepNext w:val="0"/>
        <w:keepLines w:val="0"/>
        <w:pageBreakBefore w:val="0"/>
        <w:widowControl/>
        <w:kinsoku/>
        <w:wordWrap/>
        <w:overflowPunct/>
        <w:topLinePunct w:val="0"/>
        <w:autoSpaceDE/>
        <w:autoSpaceDN/>
        <w:bidi w:val="0"/>
        <w:adjustRightInd/>
        <w:snapToGrid/>
        <w:spacing w:beforeAutospacing="0" w:after="0" w:afterAutospacing="0" w:line="594" w:lineRule="exact"/>
        <w:ind w:left="0" w:firstLine="640" w:firstLineChars="200"/>
        <w:textAlignment w:val="auto"/>
        <w:rPr>
          <w:rFonts w:hint="eastAsia" w:ascii="方正仿宋_GBK" w:hAnsi="方正仿宋_GBK" w:eastAsia="方正仿宋_GBK" w:cs="方正仿宋_GBK"/>
          <w:strike/>
          <w:dstrike w:val="0"/>
          <w:color w:val="FF000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bCs/>
          <w:color w:val="FF0000"/>
          <w:kern w:val="0"/>
          <w:sz w:val="32"/>
          <w:szCs w:val="32"/>
          <w:shd w:val="clear" w:fill="FFFFFF"/>
          <w:lang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2024年县</w:t>
      </w:r>
      <w:r>
        <w:rPr>
          <w:rFonts w:hint="eastAsia" w:ascii="方正仿宋_GBK" w:hAnsi="方正仿宋_GBK" w:eastAsia="方正仿宋_GBK" w:cs="方正仿宋_GBK"/>
          <w:b w:val="0"/>
          <w:bCs w:val="0"/>
          <w:color w:val="auto"/>
          <w:kern w:val="0"/>
          <w:sz w:val="32"/>
          <w:szCs w:val="32"/>
          <w:shd w:val="clear" w:fill="FFFFFF"/>
          <w:lang w:eastAsia="zh-CN"/>
        </w:rPr>
        <w:t>财政未委托第三方对我</w:t>
      </w:r>
      <w:r>
        <w:rPr>
          <w:rFonts w:hint="eastAsia" w:ascii="方正仿宋_GBK" w:hAnsi="方正仿宋_GBK" w:eastAsia="方正仿宋_GBK" w:cs="方正仿宋_GBK"/>
          <w:b w:val="0"/>
          <w:bCs w:val="0"/>
          <w:color w:val="auto"/>
          <w:kern w:val="0"/>
          <w:sz w:val="32"/>
          <w:szCs w:val="32"/>
          <w:shd w:val="clear" w:fill="FFFFFF"/>
          <w:lang w:val="en-US" w:eastAsia="zh-CN"/>
        </w:rPr>
        <w:t>单位</w:t>
      </w:r>
      <w:r>
        <w:rPr>
          <w:rFonts w:hint="eastAsia" w:ascii="方正仿宋_GBK" w:hAnsi="方正仿宋_GBK" w:eastAsia="方正仿宋_GBK" w:cs="方正仿宋_GBK"/>
          <w:b w:val="0"/>
          <w:bCs w:val="0"/>
          <w:color w:val="auto"/>
          <w:kern w:val="0"/>
          <w:sz w:val="32"/>
          <w:szCs w:val="32"/>
          <w:shd w:val="clear" w:fill="FFFFFF"/>
          <w:lang w:eastAsia="zh-CN"/>
        </w:rPr>
        <w:t>开展绩效评价</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bookmarkStart w:id="0" w:name="_GoBack"/>
      <w:bookmarkEnd w:id="0"/>
      <w:r>
        <w:rPr>
          <w:rStyle w:val="9"/>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Style w:val="9"/>
          <w:rFonts w:hint="eastAsia" w:ascii="方正仿宋_GBK" w:hAnsi="方正仿宋_GBK" w:eastAsia="方正仿宋_GBK" w:cs="方正仿宋_GBK"/>
          <w:b w:val="0"/>
          <w:bCs/>
          <w:sz w:val="32"/>
          <w:szCs w:val="32"/>
          <w:shd w:val="clear" w:color="auto" w:fill="FFFFFF"/>
          <w:lang w:val="en-US" w:eastAsia="zh-CN" w:bidi="ar-SA"/>
        </w:rPr>
        <w:t>指</w:t>
      </w:r>
      <w:r>
        <w:rPr>
          <w:rFonts w:hint="eastAsia" w:ascii="方正仿宋_GBK" w:hAnsi="方正仿宋_GBK" w:eastAsia="方正仿宋_GBK" w:cs="方正仿宋_GBK"/>
          <w:kern w:val="0"/>
          <w:sz w:val="32"/>
          <w:szCs w:val="32"/>
          <w:shd w:val="clear" w:fill="FFFFFF"/>
        </w:rPr>
        <w:t>事业单位在专业业务活动及其辅助活动之外开展非独立核算经营活动发生的支出。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51688036</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1474" w:gutter="0"/>
          <w:pgNumType w:fmt="decimal"/>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巫溪县委员会社会工作部（本级）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37.21</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巫溪县委员会社会工作部（本级）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37.21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37.21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巫溪县委员会社会工作部（本级）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37.21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7.26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29.95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巫溪县委员会社会工作部（本级）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社会工作事务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其他社会工作事务支出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巫溪县委员会社会工作部（本级）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lang w:eastAsia="zh-CN"/>
        </w:rPr>
      </w:pPr>
      <w:r>
        <w:rPr>
          <w:rFonts w:hint="eastAsia" w:cs="宋体"/>
          <w:sz w:val="21"/>
          <w:szCs w:val="21"/>
          <w:lang w:eastAsia="zh-CN"/>
        </w:rPr>
        <w:t>本年无政府性基金预算财政拨款收入支出决算收支，故本表无数据。</w:t>
      </w:r>
      <w:r>
        <w:rPr>
          <w:rFonts w:hint="eastAsia" w:ascii="宋体" w:hAnsi="宋体" w:eastAsia="宋体" w:cs="宋体"/>
          <w:sz w:val="21"/>
          <w:szCs w:val="21"/>
        </w:rPr>
        <w:br w:type="page"/>
      </w:r>
      <w:r>
        <w:rPr>
          <w:rFonts w:hint="eastAsia" w:cs="宋体"/>
          <w:sz w:val="21"/>
          <w:szCs w:val="21"/>
          <w:lang w:eastAsia="zh-CN"/>
        </w:rPr>
        <w:t>本年</w:t>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本年无国有资本经营预算财政拨款收支，故本表无数据。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巫溪县委员会社会工作部（本级）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0.04</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p>
      <w:pPr>
        <w:pStyle w:val="10"/>
        <w:autoSpaceDE w:val="0"/>
        <w:ind w:firstLine="0" w:firstLineChars="0"/>
        <w:rPr>
          <w:rFonts w:hint="default" w:ascii="宋体" w:hAnsi="宋体" w:eastAsia="宋体" w:cs="宋体"/>
          <w:sz w:val="21"/>
          <w:szCs w:val="21"/>
        </w:rPr>
      </w:pPr>
    </w:p>
    <w:p>
      <w:pPr>
        <w:pStyle w:val="10"/>
        <w:autoSpaceDE w:val="0"/>
        <w:ind w:firstLine="0" w:firstLineChars="0"/>
        <w:rPr>
          <w:rFonts w:hint="default" w:ascii="宋体" w:hAnsi="宋体" w:eastAsia="宋体" w:cs="宋体"/>
          <w:sz w:val="21"/>
          <w:szCs w:val="21"/>
        </w:rPr>
      </w:pPr>
    </w:p>
    <w:p>
      <w:pPr>
        <w:pStyle w:val="10"/>
        <w:autoSpaceDE w:val="0"/>
        <w:ind w:firstLine="0" w:firstLineChars="0"/>
        <w:rPr>
          <w:rFonts w:hint="default" w:ascii="宋体" w:hAnsi="宋体" w:eastAsia="宋体" w:cs="宋体"/>
          <w:sz w:val="21"/>
          <w:szCs w:val="21"/>
        </w:rPr>
      </w:pPr>
    </w:p>
    <w:p>
      <w:pPr>
        <w:pStyle w:val="10"/>
        <w:autoSpaceDE w:val="0"/>
        <w:ind w:firstLine="0" w:firstLineChars="0"/>
        <w:rPr>
          <w:rFonts w:hint="eastAsia" w:cs="宋体"/>
          <w:b/>
          <w:bCs/>
          <w:sz w:val="21"/>
          <w:szCs w:val="21"/>
          <w:lang w:val="en-US" w:eastAsia="zh-CN"/>
        </w:rPr>
      </w:pPr>
      <w:r>
        <w:rPr>
          <w:rFonts w:hint="eastAsia" w:cs="宋体"/>
          <w:b/>
          <w:bCs/>
          <w:sz w:val="21"/>
          <w:szCs w:val="21"/>
          <w:lang w:eastAsia="zh-CN"/>
        </w:rPr>
        <w:t>附件</w:t>
      </w:r>
      <w:r>
        <w:rPr>
          <w:rFonts w:hint="eastAsia" w:cs="宋体"/>
          <w:b/>
          <w:bCs/>
          <w:sz w:val="21"/>
          <w:szCs w:val="21"/>
          <w:lang w:val="en-US" w:eastAsia="zh-CN"/>
        </w:rPr>
        <w:t>1</w:t>
      </w:r>
    </w:p>
    <w:tbl>
      <w:tblPr>
        <w:tblStyle w:val="7"/>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6"/>
        <w:gridCol w:w="2656"/>
        <w:gridCol w:w="1100"/>
        <w:gridCol w:w="1763"/>
        <w:gridCol w:w="1321"/>
        <w:gridCol w:w="1574"/>
        <w:gridCol w:w="1726"/>
        <w:gridCol w:w="1206"/>
        <w:gridCol w:w="1100"/>
        <w:gridCol w:w="1542"/>
        <w:gridCol w:w="3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default"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巫溪县委员会社会工作部整体自评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077-巫溪县委员会社会工作部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18375736919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规范各类标牌4863个，制定《巫溪县全县性行业协会商会改革发展协调机制》《巫溪县志愿服务工作协调机制》等10余项机制，推动部门整合资源，出台关爱新就业群体27条措施。建册管理全县6.28万名注册志愿者、2.88万名社会工作人才，承接社会服务项目22个，链接社会资金80余万元，直接受益对象超过2.1万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指导镇街开展志愿服务活动次数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志愿服务活动次数是核心指标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清廉村居建设合格率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清廉村居合格率65%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“滥挂牌”问题整治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滥挂牌工作全面清理完成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保障机关正常运转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r>
    </w:tbl>
    <w:p>
      <w:pPr>
        <w:pStyle w:val="10"/>
        <w:autoSpaceDE w:val="0"/>
        <w:ind w:firstLine="0" w:firstLineChars="0"/>
        <w:rPr>
          <w:rFonts w:hint="default" w:cs="宋体"/>
          <w:sz w:val="21"/>
          <w:szCs w:val="21"/>
          <w:lang w:val="en-US" w:eastAsia="zh-CN"/>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5F8C2"/>
    <w:multiLevelType w:val="singleLevel"/>
    <w:tmpl w:val="E5F5F8C2"/>
    <w:lvl w:ilvl="0" w:tentative="0">
      <w:start w:val="2"/>
      <w:numFmt w:val="chineseCounting"/>
      <w:suff w:val="nothing"/>
      <w:lvlText w:val="（%1）"/>
      <w:lvlJc w:val="left"/>
      <w:rPr>
        <w:rFonts w:hint="eastAsia"/>
      </w:rPr>
    </w:lvl>
  </w:abstractNum>
  <w:abstractNum w:abstractNumId="1">
    <w:nsid w:val="7FBEBFD5"/>
    <w:multiLevelType w:val="singleLevel"/>
    <w:tmpl w:val="7FBEBFD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E526C2"/>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AA40031"/>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F459B"/>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BEFB0D"/>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7B661A"/>
    <w:rsid w:val="5D290C69"/>
    <w:rsid w:val="5D537F41"/>
    <w:rsid w:val="5EFA176D"/>
    <w:rsid w:val="5F0247F9"/>
    <w:rsid w:val="5F2D4A41"/>
    <w:rsid w:val="5F7D6244"/>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3847711"/>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7F212"/>
    <w:rsid w:val="7C3A7C0B"/>
    <w:rsid w:val="7C5248E4"/>
    <w:rsid w:val="7C566698"/>
    <w:rsid w:val="7FA960B8"/>
    <w:rsid w:val="7FDC5C03"/>
    <w:rsid w:val="A7FFE7BF"/>
    <w:rsid w:val="AF8E85A6"/>
    <w:rsid w:val="B77B01C6"/>
    <w:rsid w:val="BCCDCEDD"/>
    <w:rsid w:val="BDEA56C9"/>
    <w:rsid w:val="F5A7F2BC"/>
    <w:rsid w:val="FEDE40A1"/>
    <w:rsid w:val="FFEF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rPr>
      <w:rFonts w:ascii="Calibri" w:hAnsi="Calibri" w:eastAsia="仿宋_GB2312"/>
      <w:kern w:val="2"/>
      <w:sz w:val="30"/>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9</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2024-07-13T10:00:00Z</dcterms:created>
  <dc:creator>Administrator</dc:creator>
  <cp:lastModifiedBy>guest</cp:lastModifiedBy>
  <dcterms:modified xsi:type="dcterms:W3CDTF">2025-09-17T10:33:41Z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9EDAFD8FD9424A54844071572B3E9A06_13</vt:lpwstr>
  </property>
</Properties>
</file>