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巫溪县宣传文化互联网信息中心</w:t>
      </w:r>
    </w:p>
    <w:p>
      <w:pPr>
        <w:pStyle w:val="5"/>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bookmarkStart w:id="0" w:name="_GoBack"/>
      <w:bookmarkEnd w:id="0"/>
      <w:r>
        <w:rPr>
          <w:rFonts w:ascii="方正小标宋_GBK" w:hAnsi="方正小标宋_GBK" w:eastAsia="方正小标宋_GBK" w:cs="方正小标宋_GBK"/>
          <w:sz w:val="44"/>
          <w:szCs w:val="44"/>
          <w:shd w:val="clear" w:color="auto" w:fill="FFFFFF"/>
        </w:rPr>
        <w:t>年度决算公开说明</w:t>
      </w:r>
    </w:p>
    <w:p>
      <w:pPr>
        <w:pStyle w:val="5"/>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ascii="方正黑体_GBK" w:hAnsi="黑体" w:eastAsia="方正黑体_GBK" w:cs="黑体"/>
          <w:sz w:val="32"/>
          <w:szCs w:val="32"/>
          <w:shd w:val="clear" w:color="auto" w:fill="FFFFFF"/>
        </w:rPr>
      </w:pPr>
      <w:r>
        <w:rPr>
          <w:rStyle w:val="8"/>
          <w:rFonts w:ascii="方正黑体_GBK" w:hAnsi="黑体" w:eastAsia="方正黑体_GBK" w:cs="黑体"/>
          <w:sz w:val="32"/>
          <w:szCs w:val="32"/>
          <w:shd w:val="clear" w:color="auto" w:fill="FFFFFF"/>
        </w:rPr>
        <w:t>一、单位基本情况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ascii="方正楷体_GBK" w:hAnsi="方正仿宋_GBK" w:eastAsia="方正楷体_GBK" w:cs="方正仿宋_GBK"/>
          <w:sz w:val="32"/>
          <w:szCs w:val="32"/>
        </w:rPr>
      </w:pPr>
      <w:r>
        <w:rPr>
          <w:rStyle w:val="8"/>
          <w:rFonts w:ascii="方正楷体_GBK" w:hAnsi="楷体" w:eastAsia="方正楷体_GBK" w:cs="楷体"/>
          <w:sz w:val="32"/>
          <w:szCs w:val="32"/>
          <w:shd w:val="clear" w:color="auto" w:fill="FFFFFF"/>
        </w:rPr>
        <w:t>（一）职能职责</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rPr>
      </w:pPr>
      <w:r>
        <w:rPr>
          <w:rFonts w:ascii="方正仿宋_GBK" w:hAnsi="方正仿宋_GBK" w:eastAsia="方正仿宋_GBK" w:cs="方正仿宋_GBK"/>
          <w:sz w:val="32"/>
          <w:szCs w:val="32"/>
        </w:rPr>
        <w:t>巫溪县宣传文化互联网信息中心内设网络安全和信息化工作科。</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rPr>
      </w:pPr>
      <w:r>
        <w:rPr>
          <w:rFonts w:hint="default" w:ascii="方正仿宋_GBK" w:hAnsi="方正仿宋_GBK" w:eastAsia="方正仿宋_GBK" w:cs="方正仿宋_GBK"/>
          <w:sz w:val="32"/>
          <w:szCs w:val="32"/>
        </w:rPr>
        <w:t>网络安全和信息化工作科：统筹指导协调全县网络安全和信息化工作，督促落实党委（党组、党工委）网络意识形态工作责任制，维护网络意识形态安全。负责全县互联网信息内容管理工作，统筹协调全县互联网宣传管理和舆论引导工作。负责指导协调全县网络舆情信息工作和全县宣传思想文化系统舆情信息工作，承担县委网信办（县网信办）具体工作。</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ascii="方正楷体_GBK" w:hAnsi="楷体" w:eastAsia="方正楷体_GBK" w:cs="楷体"/>
          <w:sz w:val="32"/>
          <w:szCs w:val="32"/>
        </w:rPr>
      </w:pPr>
      <w:r>
        <w:rPr>
          <w:rStyle w:val="8"/>
          <w:rFonts w:ascii="方正楷体_GBK" w:hAnsi="楷体" w:eastAsia="方正楷体_GBK" w:cs="楷体"/>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巫溪县宣传文化互联网信息中心内设网络安全和信息化工作科。核定事业编制</w:t>
      </w:r>
      <w:r>
        <w:rPr>
          <w:rFonts w:hint="default" w:ascii="方正仿宋_GBK" w:hAnsi="方正仿宋_GBK" w:eastAsia="方正仿宋_GBK" w:cs="方正仿宋_GBK"/>
          <w:sz w:val="32"/>
          <w:szCs w:val="32"/>
        </w:rPr>
        <w:t>26人，实有在编人数20人。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Fonts w:ascii="方正黑体_GBK" w:hAnsi="方正仿宋_GBK" w:eastAsia="方正黑体_GBK" w:cs="方正仿宋_GBK"/>
          <w:sz w:val="32"/>
          <w:szCs w:val="32"/>
        </w:rPr>
      </w:pPr>
      <w:r>
        <w:rPr>
          <w:rStyle w:val="8"/>
          <w:rFonts w:ascii="方正黑体_GBK" w:hAnsi="黑体" w:eastAsia="方正黑体_GBK" w:cs="黑体"/>
          <w:sz w:val="32"/>
          <w:szCs w:val="32"/>
          <w:shd w:val="clear" w:color="auto" w:fill="FFFFFF"/>
        </w:rPr>
        <w:t>二、单位决算收支情况说明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2024年度收入总计404.33万元，支出总计</w:t>
      </w:r>
      <w:r>
        <w:rPr>
          <w:rFonts w:ascii="方正仿宋_GBK" w:hAnsi="方正仿宋_GBK" w:eastAsia="方正仿宋_GBK" w:cs="方正仿宋_GBK"/>
          <w:sz w:val="32"/>
          <w:szCs w:val="32"/>
        </w:rPr>
        <w:t>404.33</w:t>
      </w:r>
      <w:r>
        <w:rPr>
          <w:rFonts w:ascii="方正仿宋_GBK" w:hAnsi="方正仿宋_GBK" w:eastAsia="方正仿宋_GBK" w:cs="方正仿宋_GBK"/>
          <w:sz w:val="32"/>
          <w:szCs w:val="32"/>
          <w:shd w:val="clear" w:color="auto" w:fill="FFFFFF"/>
        </w:rPr>
        <w:t>万元。收、支与2023年度相比，增加404.33万元，增长100.0%，主要原因是我单位为宣传部下级二级单位，宣传文化互联网信息中心2024年开始独立编制和核算。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2024年度收入合计404.33万元，与2023年度相比，增加404.33万元，增长100.0%，主要原因是我单位为宣传部下级二级单位，宣传文化互联网信息中心2024年开始独立编制和核算。其中：财政拨款收入</w:t>
      </w:r>
      <w:r>
        <w:rPr>
          <w:rFonts w:ascii="方正仿宋_GBK" w:hAnsi="方正仿宋_GBK" w:eastAsia="方正仿宋_GBK" w:cs="方正仿宋_GBK"/>
          <w:sz w:val="32"/>
          <w:szCs w:val="32"/>
        </w:rPr>
        <w:t>404.33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404.33</w:t>
      </w:r>
      <w:r>
        <w:rPr>
          <w:rFonts w:ascii="方正仿宋_GBK" w:hAnsi="方正仿宋_GBK" w:eastAsia="方正仿宋_GBK" w:cs="方正仿宋_GBK"/>
          <w:sz w:val="32"/>
          <w:szCs w:val="32"/>
          <w:shd w:val="clear" w:color="auto" w:fill="FFFFFF"/>
        </w:rPr>
        <w:t>万元，与2023年度相比，增加404.33万元，增长100.0%，主要原因是我单位为宣传部下级二级单位，宣传文化互联网信息中心2024年开始独立编制和核算。其中：基本支出</w:t>
      </w:r>
      <w:r>
        <w:rPr>
          <w:rFonts w:ascii="方正仿宋_GBK" w:hAnsi="方正仿宋_GBK" w:eastAsia="方正仿宋_GBK" w:cs="方正仿宋_GBK"/>
          <w:sz w:val="32"/>
          <w:szCs w:val="32"/>
        </w:rPr>
        <w:t>404.33</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2024年度财政拨款收、支总计404.33万元。与2023年相比，财政拨款收、支总计各增加404.33万元，增长100.0%。主要原因是我单位为宣传部下级二级单位，宣传文化互联网信息中心2024年开始独立编制和核算。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404.33</w:t>
      </w:r>
      <w:r>
        <w:rPr>
          <w:rFonts w:ascii="方正仿宋_GBK" w:hAnsi="方正仿宋_GBK" w:eastAsia="方正仿宋_GBK" w:cs="方正仿宋_GBK"/>
          <w:sz w:val="32"/>
          <w:szCs w:val="32"/>
          <w:shd w:val="clear" w:color="auto" w:fill="FFFFFF"/>
        </w:rPr>
        <w:t>万元，与2023年度相比，增加404.33万元，增长100.0%。主要原因是我单位为宣传部下级二级单位，宣传文化互联网信息中心2024年开始独立编制和核算。较年初预算数减少1.97万元，下降0.5%。主要原因是办公费、差旅费等项目支出比年初预算减少。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404.33</w:t>
      </w:r>
      <w:r>
        <w:rPr>
          <w:rFonts w:ascii="方正仿宋_GBK" w:hAnsi="方正仿宋_GBK" w:eastAsia="方正仿宋_GBK" w:cs="方正仿宋_GBK"/>
          <w:sz w:val="32"/>
          <w:szCs w:val="32"/>
          <w:shd w:val="clear" w:color="auto" w:fill="FFFFFF"/>
        </w:rPr>
        <w:t>万元，与2023年度相比，增加404.33万元，增长100.0%。主要原因是我单位为宣传部下级二级单位，宣传文化互联网信息中心2024年开始独立编制和核算。较年初预算数减少1.97万元，下降0.5%。主要原因是办公费、差旅费等项目支出比年初预算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307.07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75.94</w:t>
      </w:r>
      <w:r>
        <w:rPr>
          <w:rFonts w:ascii="方正仿宋_GBK" w:hAnsi="方正仿宋_GBK" w:eastAsia="方正仿宋_GBK" w:cs="方正仿宋_GBK"/>
          <w:color w:val="auto"/>
          <w:sz w:val="32"/>
          <w:szCs w:val="32"/>
          <w:shd w:val="clear" w:color="auto" w:fill="FFFFFF"/>
        </w:rPr>
        <w:t>%，较年初预算数减少19.49万元，下降6.0%，主要原因是机关事业单位基本养老保险缴费、职业年金缴费等增加。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60.25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14.90</w:t>
      </w:r>
      <w:r>
        <w:rPr>
          <w:rFonts w:ascii="方正仿宋_GBK" w:hAnsi="方正仿宋_GBK" w:eastAsia="方正仿宋_GBK" w:cs="方正仿宋_GBK"/>
          <w:sz w:val="32"/>
          <w:szCs w:val="32"/>
          <w:shd w:val="clear" w:color="auto" w:fill="FFFFFF"/>
        </w:rPr>
        <w:t>%，较年初预算数增加17.52万元，增长41.0%，主要原因是机关事业单位基本养老保险缴费、职业年金缴费等增加。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16.82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4.16</w:t>
      </w:r>
      <w:r>
        <w:rPr>
          <w:rFonts w:ascii="方正仿宋_GBK" w:hAnsi="方正仿宋_GBK" w:eastAsia="方正仿宋_GBK" w:cs="方正仿宋_GBK"/>
          <w:sz w:val="32"/>
          <w:szCs w:val="32"/>
          <w:shd w:val="clear" w:color="auto" w:fill="FFFFFF"/>
        </w:rPr>
        <w:t>%，较年初预算数无增减。</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住房保障支出20.19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4.99</w:t>
      </w:r>
      <w:r>
        <w:rPr>
          <w:rFonts w:ascii="方正仿宋_GBK" w:hAnsi="方正仿宋_GBK" w:eastAsia="方正仿宋_GBK" w:cs="方正仿宋_GBK"/>
          <w:sz w:val="32"/>
          <w:szCs w:val="32"/>
          <w:shd w:val="clear" w:color="auto" w:fill="FFFFFF"/>
        </w:rPr>
        <w:t>%，较年初预算数无增减。</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404.33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376.40</w:t>
      </w:r>
      <w:r>
        <w:rPr>
          <w:rFonts w:ascii="方正仿宋_GBK" w:hAnsi="方正仿宋_GBK" w:eastAsia="方正仿宋_GBK" w:cs="方正仿宋_GBK"/>
          <w:sz w:val="32"/>
          <w:szCs w:val="32"/>
          <w:shd w:val="clear" w:color="auto" w:fill="FFFFFF"/>
        </w:rPr>
        <w:t>万元，与2023年度相比，增加376.40万元，增长100.0%，主要原因是我单位为宣传部下级二级单位，宣传文化互联网信息中心2024年开始独立编制和核算。人员经费用途主要包括</w:t>
      </w:r>
      <w:r>
        <w:rPr>
          <w:rFonts w:ascii="方正仿宋_GBK" w:hAnsi="方正仿宋_GBK" w:eastAsia="方正仿宋_GBK" w:cs="方正仿宋_GBK"/>
          <w:sz w:val="32"/>
          <w:szCs w:val="32"/>
        </w:rPr>
        <w:t>基本工资、津贴补贴、奖金、绩效工资、机关事业部门基本养老保险费、职业年金缴费、职工基本医疗保险缴费、其他社会保障缴费、住房公积金、对个人和家庭的补助中的生活补助以及医疗费补助。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27.93</w:t>
      </w:r>
      <w:r>
        <w:rPr>
          <w:rFonts w:ascii="方正仿宋_GBK" w:hAnsi="方正仿宋_GBK" w:eastAsia="方正仿宋_GBK" w:cs="方正仿宋_GBK"/>
          <w:sz w:val="32"/>
          <w:szCs w:val="32"/>
          <w:shd w:val="clear" w:color="auto" w:fill="FFFFFF"/>
        </w:rPr>
        <w:t>万元，与2023年度相比，增加27.93万元，增长100.0%，主要原因是我单位为宣传部下级二级单位，宣传文化互联网信息中心2024年开始独立编制和核算。公用经费用途主要包括</w:t>
      </w:r>
      <w:r>
        <w:rPr>
          <w:rFonts w:ascii="方正仿宋_GBK" w:hAnsi="方正仿宋_GBK" w:eastAsia="方正仿宋_GBK" w:cs="方正仿宋_GBK"/>
          <w:sz w:val="32"/>
          <w:szCs w:val="32"/>
        </w:rPr>
        <w:t>办公费、印刷费、水费、电费、邮电费、物业管理费、差旅费、维修（护）费、会议费、培训费、公务接待费、劳务费、工会经费、福利费、其他交通费用、其他商品和服务支出。</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ascii="方正黑体_GBK" w:hAnsi="黑体" w:eastAsia="方正黑体_GBK" w:cs="黑体"/>
          <w:sz w:val="32"/>
          <w:szCs w:val="32"/>
          <w:shd w:val="clear" w:color="auto" w:fill="FFFFFF"/>
        </w:rPr>
      </w:pPr>
      <w:r>
        <w:rPr>
          <w:rStyle w:val="8"/>
          <w:rFonts w:ascii="方正黑体_GBK" w:hAnsi="黑体" w:eastAsia="方正黑体_GBK" w:cs="黑体"/>
          <w:sz w:val="32"/>
          <w:szCs w:val="32"/>
          <w:shd w:val="clear" w:color="auto" w:fill="FFFFFF"/>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4.18</w:t>
      </w:r>
      <w:r>
        <w:rPr>
          <w:rFonts w:ascii="方正仿宋_GBK" w:hAnsi="方正仿宋_GBK" w:eastAsia="方正仿宋_GBK" w:cs="方正仿宋_GBK"/>
          <w:sz w:val="32"/>
          <w:szCs w:val="32"/>
          <w:shd w:val="clear" w:color="auto" w:fill="FFFFFF"/>
        </w:rPr>
        <w:t>万元，较年初预算数无增减。较上年支出数增加4.18万元，增长100.0%，主要原因是我单位为宣传部下级二级单位，宣传文化互联网信息中心2024年开始独立编制和核算。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本单位2024年度未发生因公出国（境）支出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本单位2024年度未发生公务车购置费。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本单位2024年度未发生公务车运行维护费。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4.18</w:t>
      </w:r>
      <w:r>
        <w:rPr>
          <w:rFonts w:ascii="方正仿宋_GBK" w:hAnsi="方正仿宋_GBK" w:eastAsia="方正仿宋_GBK" w:cs="方正仿宋_GBK"/>
          <w:sz w:val="32"/>
          <w:szCs w:val="32"/>
          <w:shd w:val="clear" w:color="auto" w:fill="FFFFFF"/>
        </w:rPr>
        <w:t>万元，主要用于接待上级部门指导工作。费用支出较年初预算数无增减。较上年支出数增加4.18万元，增长100.0%，主要原因是我单位为宣传部下级二级单位，宣传文化互联网信息中心2024年开始独立编制和核算。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90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929</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44.99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ascii="方正黑体_GBK" w:hAnsi="黑体" w:eastAsia="方正黑体_GBK" w:cs="黑体"/>
          <w:sz w:val="32"/>
          <w:szCs w:val="32"/>
          <w:shd w:val="clear" w:color="auto" w:fill="FFFFFF"/>
        </w:rPr>
      </w:pPr>
      <w:r>
        <w:rPr>
          <w:rStyle w:val="8"/>
          <w:rFonts w:ascii="方正黑体_GBK" w:hAnsi="黑体" w:eastAsia="方正黑体_GBK" w:cs="黑体"/>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万元，与2023年度相比，增加0.05万元，增长100.0%，主要原因是我单位为宣传部下级二级单位，宣传文化互联网信息中心2024年开始独立编制和核算。本年度培训费支出</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万元，与2023年度相比，增加0.07万元，增长100.0%，主要原因是我单位为宣传部下级二级单位，宣传文化互联网信息中心2024年开始独立编制和核算。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因</w:t>
      </w:r>
      <w:r>
        <w:rPr>
          <w:rFonts w:ascii="方正仿宋_GBK" w:hAnsi="方正仿宋_GBK" w:eastAsia="方正仿宋_GBK" w:cs="方正仿宋_GBK"/>
          <w:sz w:val="32"/>
          <w:szCs w:val="32"/>
        </w:rPr>
        <w:t>本单位属于宣传部下级二级预算单位</w:t>
      </w:r>
      <w:r>
        <w:rPr>
          <w:rFonts w:hint="default" w:ascii="方正仿宋_GBK" w:hAnsi="方正仿宋_GBK" w:eastAsia="方正仿宋_GBK" w:cs="方正仿宋_GBK"/>
          <w:sz w:val="32"/>
          <w:szCs w:val="32"/>
        </w:rPr>
        <w:t>，财政未保障我单位机关运行经费。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因</w:t>
      </w:r>
      <w:r>
        <w:rPr>
          <w:rFonts w:ascii="方正仿宋_GBK" w:hAnsi="方正仿宋_GBK" w:eastAsia="方正仿宋_GBK" w:cs="方正仿宋_GBK"/>
          <w:sz w:val="32"/>
          <w:szCs w:val="32"/>
        </w:rPr>
        <w:t>本单位属于宣传部下级二级预算单位</w:t>
      </w:r>
      <w:r>
        <w:rPr>
          <w:rFonts w:hint="default" w:ascii="方正仿宋_GBK" w:hAnsi="方正仿宋_GBK" w:eastAsia="方正仿宋_GBK" w:cs="方正仿宋_GBK"/>
          <w:sz w:val="32"/>
          <w:szCs w:val="32"/>
        </w:rPr>
        <w:t>，我单位资产未纳入部门决算报表。</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2024年度我单位未发生政府采购事项，无相关经费支出。</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Style w:val="8"/>
          <w:rFonts w:hint="eastAsia" w:ascii="方正黑体_GBK" w:hAnsi="黑体" w:eastAsia="方正黑体_GBK" w:cs="黑体"/>
          <w:sz w:val="32"/>
          <w:szCs w:val="32"/>
          <w:shd w:val="clear" w:color="auto" w:fill="FFFFFF"/>
        </w:rPr>
      </w:pPr>
      <w:r>
        <w:rPr>
          <w:rStyle w:val="8"/>
          <w:rFonts w:hint="eastAsia" w:ascii="方正黑体_GBK" w:hAnsi="黑体" w:eastAsia="方正黑体_GBK" w:cs="黑体"/>
          <w:sz w:val="32"/>
          <w:szCs w:val="32"/>
          <w:shd w:val="clear" w:color="auto" w:fill="FFFFFF"/>
        </w:rPr>
        <w:t>五、2024年度预算绩效管理情况说明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方正楷体_GBK" w:hAnsi="楷体" w:eastAsia="方正楷体_GBK" w:cs="楷体"/>
          <w:b/>
          <w:bCs/>
          <w:sz w:val="32"/>
          <w:szCs w:val="32"/>
          <w:shd w:val="clear" w:color="auto" w:fill="FFFFFF"/>
        </w:rPr>
      </w:pPr>
      <w:r>
        <w:rPr>
          <w:rFonts w:ascii="方正楷体_GBK" w:hAnsi="楷体" w:eastAsia="方正楷体_GBK" w:cs="楷体"/>
          <w:b/>
          <w:bCs/>
          <w:sz w:val="32"/>
          <w:szCs w:val="32"/>
          <w:shd w:val="clear" w:color="auto" w:fill="FFFFFF"/>
        </w:rPr>
        <w:t>（一）单位自评情况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2024年本单位未开展预算绩效管理自评</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方正楷体_GBK" w:hAnsi="楷体" w:eastAsia="方正楷体_GBK" w:cs="楷体"/>
          <w:b/>
          <w:bCs/>
          <w:sz w:val="32"/>
          <w:szCs w:val="32"/>
          <w:shd w:val="clear" w:color="auto" w:fill="FFFFFF"/>
        </w:rPr>
      </w:pPr>
      <w:r>
        <w:rPr>
          <w:rFonts w:ascii="方正楷体_GBK" w:hAnsi="楷体" w:eastAsia="方正楷体_GBK" w:cs="楷体"/>
          <w:b/>
          <w:bCs/>
          <w:sz w:val="32"/>
          <w:szCs w:val="32"/>
          <w:shd w:val="clear" w:color="auto" w:fill="FFFFFF"/>
        </w:rPr>
        <w:t>（二）部门绩效评价情况</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hint="default"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2024年我单位未组织开展绩效评价。</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方正楷体_GBK" w:hAnsi="方正仿宋_GBK" w:eastAsia="方正楷体_GBK" w:cs="方正仿宋_GBK"/>
          <w:sz w:val="32"/>
          <w:szCs w:val="32"/>
          <w:shd w:val="clear" w:color="auto" w:fill="FFFFFF"/>
        </w:rPr>
      </w:pPr>
      <w:r>
        <w:rPr>
          <w:rFonts w:ascii="方正楷体_GBK" w:hAnsi="楷体" w:eastAsia="方正楷体_GBK" w:cs="楷体"/>
          <w:b/>
          <w:bCs/>
          <w:sz w:val="32"/>
          <w:szCs w:val="32"/>
          <w:shd w:val="clear" w:color="auto" w:fill="FFFFFF"/>
        </w:rPr>
        <w:t>（三）财政绩效评价情况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3" w:firstLineChars="200"/>
        <w:textAlignment w:val="auto"/>
        <w:rPr>
          <w:rFonts w:hint="eastAsia" w:ascii="方正黑体_GBK" w:hAnsi="方正仿宋_GBK" w:eastAsia="方正黑体_GBK" w:cs="方正仿宋_GBK"/>
          <w:sz w:val="32"/>
          <w:szCs w:val="32"/>
        </w:rPr>
      </w:pPr>
      <w:r>
        <w:rPr>
          <w:rStyle w:val="8"/>
          <w:rFonts w:hint="eastAsia" w:ascii="方正黑体_GBK" w:hAnsi="黑体" w:eastAsia="方正黑体_GBK" w:cs="黑体"/>
          <w:sz w:val="32"/>
          <w:szCs w:val="32"/>
          <w:shd w:val="clear" w:color="auto" w:fill="FFFFFF"/>
        </w:rPr>
        <w:t xml:space="preserve"> 六、专业名词解释</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Fonts w:hint="eastAsia" w:ascii="方正黑体_GBK" w:hAnsi="方正仿宋_GBK" w:eastAsia="方正黑体_GBK" w:cs="方正仿宋_GBK"/>
          <w:sz w:val="32"/>
          <w:szCs w:val="32"/>
        </w:rPr>
      </w:pPr>
      <w:r>
        <w:rPr>
          <w:rStyle w:val="8"/>
          <w:rFonts w:hint="eastAsia" w:ascii="方正黑体_GBK" w:hAnsi="黑体" w:eastAsia="方正黑体_GBK" w:cs="黑体"/>
          <w:sz w:val="32"/>
          <w:szCs w:val="32"/>
          <w:shd w:val="clear" w:color="auto" w:fill="FFFFFF"/>
        </w:rPr>
        <w:t>七、决算公开联系方式及信息反馈渠道</w:t>
      </w: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ascii="方正仿宋_GBK" w:hAnsi="方正仿宋_GBK" w:eastAsia="方正仿宋_GBK" w:cs="方正仿宋_GBK"/>
          <w:color w:val="FF0000"/>
          <w:sz w:val="32"/>
          <w:szCs w:val="32"/>
          <w:shd w:val="clear" w:color="auto" w:fill="FFFFFF"/>
        </w:rPr>
        <w:sectPr>
          <w:footerReference r:id="rId3" w:type="default"/>
          <w:pgSz w:w="11915" w:h="16840"/>
          <w:pgMar w:top="1984" w:right="1446" w:bottom="1644" w:left="1446" w:header="851" w:footer="992" w:gutter="0"/>
          <w:paperSrc/>
          <w:pgNumType w:fmt="numberInDash"/>
          <w:cols w:space="0" w:num="1"/>
          <w:rtlGutter w:val="0"/>
          <w:docGrid w:type="lines" w:linePitch="330" w:charSpace="0"/>
        </w:sectPr>
      </w:pPr>
      <w:r>
        <w:rPr>
          <w:rFonts w:hint="eastAsia"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sz w:val="32"/>
          <w:szCs w:val="32"/>
        </w:rPr>
        <w:t>刘国芳13896248736</w:t>
      </w: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收入支出决算表</w:t>
            </w:r>
          </w:p>
        </w:tc>
      </w:tr>
      <w:tr>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巫溪县宣传文化互联网信息中心</w:t>
            </w:r>
          </w:p>
        </w:tc>
        <w:tc>
          <w:tcPr>
            <w:tcW w:w="4419"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01表</w:t>
            </w:r>
          </w:p>
        </w:tc>
      </w:tr>
      <w:tr>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404.33 </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307.07 </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583" w:type="dxa"/>
            <w:tcBorders>
              <w:top w:val="nil"/>
              <w:left w:val="nil"/>
              <w:bottom w:val="nil"/>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60.25 </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16.82 </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20.19 </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404.33 </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404.33 </w:t>
            </w: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419" w:type="dxa"/>
            <w:tcBorders>
              <w:top w:val="nil"/>
              <w:left w:val="nil"/>
              <w:bottom w:val="single" w:color="auto"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38"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404.33 </w:t>
            </w:r>
          </w:p>
        </w:tc>
        <w:tc>
          <w:tcPr>
            <w:tcW w:w="49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404.33</w:t>
            </w:r>
          </w:p>
        </w:tc>
      </w:tr>
    </w:tbl>
    <w:p>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收入决算表</w:t>
            </w:r>
          </w:p>
        </w:tc>
      </w:tr>
      <w:tr>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巫溪县宣传文化互联网信息中心</w:t>
            </w:r>
          </w:p>
        </w:tc>
        <w:tc>
          <w:tcPr>
            <w:tcW w:w="2408" w:type="dxa"/>
            <w:tcBorders>
              <w:top w:val="nil"/>
              <w:left w:val="nil"/>
              <w:right w:val="nil"/>
            </w:tcBorders>
            <w:shd w:val="clear" w:color="auto" w:fill="auto"/>
            <w:vAlign w:val="bottom"/>
          </w:tcPr>
          <w:p>
            <w:pPr>
              <w:jc w:val="right"/>
              <w:textAlignment w:val="bottom"/>
              <w:rPr>
                <w:rFonts w:hint="default" w:ascii="Arial" w:hAnsi="Arial" w:cs="Arial"/>
                <w:color w:val="000000"/>
                <w:sz w:val="20"/>
                <w:szCs w:val="20"/>
              </w:rPr>
            </w:pPr>
            <w:r>
              <w:rPr>
                <w:rFonts w:cs="宋体"/>
                <w:color w:val="000000"/>
                <w:sz w:val="20"/>
                <w:szCs w:val="20"/>
              </w:rPr>
              <w:t>02表</w:t>
            </w:r>
          </w:p>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其他收入</w:t>
            </w:r>
          </w:p>
        </w:tc>
      </w:tr>
      <w:tr>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404.33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404.33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20133</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宣传事务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2013350</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支出决算表</w:t>
            </w:r>
          </w:p>
        </w:tc>
      </w:tr>
      <w:tr>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color w:val="000000"/>
                <w:sz w:val="20"/>
              </w:rPr>
              <w:t xml:space="preserve">巫溪县宣传文化互联网信息中心 </w:t>
            </w:r>
          </w:p>
        </w:tc>
        <w:tc>
          <w:tcPr>
            <w:tcW w:w="2741"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03表</w:t>
            </w:r>
          </w:p>
        </w:tc>
      </w:tr>
      <w:tr>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对附属单位补助支出</w:t>
            </w:r>
          </w:p>
        </w:tc>
      </w:tr>
      <w:tr>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404.33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404.33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20133</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宣传事务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2013350</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财政拨款收入支出决算表</w:t>
            </w:r>
          </w:p>
        </w:tc>
      </w:tr>
      <w:tr>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color w:val="000000"/>
                <w:sz w:val="20"/>
              </w:rPr>
              <w:t>巫溪县宣传文化互联网信息中心</w:t>
            </w:r>
          </w:p>
        </w:tc>
        <w:tc>
          <w:tcPr>
            <w:tcW w:w="287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04表</w:t>
            </w:r>
          </w:p>
        </w:tc>
      </w:tr>
      <w:tr>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支     出</w:t>
            </w:r>
          </w:p>
        </w:tc>
      </w:tr>
      <w:tr>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404.33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307.07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307.07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60.25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60.25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20.19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20.19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404.33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404.33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404.33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404.33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404.33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404.33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p>
        </w:tc>
      </w:tr>
    </w:tbl>
    <w:p>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巫溪县宣传文化互联网信息中心</w:t>
            </w: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05表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404.33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404.33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404.33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404.33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307.07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307.07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307.07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307.07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20133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宣传事务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307.07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307.07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307.07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307.07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2013350</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307.07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307.07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307.07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307.07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60.25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60.25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60.25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60.25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60.25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60.25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60.25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60.25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38.25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38.25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38.25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38.25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19.65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19.65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19.65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19.65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16.82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16.82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16.82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16.82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16.82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16.82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16.82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16.82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20.19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20.19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20.19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20.19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20.19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20.19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20.19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20.19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20.19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20.19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20.19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20.19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color w:val="000000"/>
                <w:sz w:val="20"/>
              </w:rPr>
              <w:t>巫溪县宣传文化互联网信息中心</w:t>
            </w:r>
          </w:p>
        </w:tc>
        <w:tc>
          <w:tcPr>
            <w:tcW w:w="2682"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06表</w:t>
            </w:r>
          </w:p>
        </w:tc>
      </w:tr>
      <w:tr>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公用经费</w:t>
            </w:r>
          </w:p>
        </w:tc>
      </w:tr>
      <w:tr>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374.05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27.77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0.16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80.97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13.57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0.11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0.16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10.68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157.58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1.24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38.53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22.11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0.06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16.82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1.25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4.39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32.53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0.12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2.15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2.36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0.07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4.18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1.86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0.50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3.19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4.26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0.81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2.95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376.40 </w:t>
            </w:r>
          </w:p>
        </w:tc>
        <w:tc>
          <w:tcPr>
            <w:tcW w:w="12067" w:type="dxa"/>
            <w:gridSpan w:val="5"/>
            <w:tcBorders>
              <w:top w:val="nil"/>
              <w:left w:val="nil"/>
              <w:bottom w:val="single" w:color="000000" w:sz="4" w:space="0"/>
              <w:right w:val="single" w:color="000000" w:sz="4" w:space="0"/>
            </w:tcBorders>
            <w:shd w:val="clear" w:color="auto" w:fill="auto"/>
            <w:vAlign w:val="center"/>
          </w:tcPr>
          <w:p>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27.93 </w:t>
            </w:r>
          </w:p>
        </w:tc>
      </w:tr>
    </w:tbl>
    <w:p>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巫溪县宣传文化互联网信息中心</w:t>
            </w: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07表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hint="eastAsia" w:ascii="方正仿宋_GBK" w:hAnsi="方正仿宋_GBK" w:eastAsia="方正仿宋_GBK" w:cs="方正仿宋_GBK"/>
          <w:sz w:val="32"/>
          <w:szCs w:val="32"/>
          <w:lang w:val="en-US" w:eastAsia="zh-CN"/>
        </w:rPr>
        <w:t>本年无政府性基金收支，故本表无数据。</w:t>
      </w: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color w:val="000000"/>
                <w:sz w:val="20"/>
              </w:rPr>
              <w:t>巫溪县宣传文化互联网信息中心</w:t>
            </w:r>
          </w:p>
        </w:tc>
        <w:tc>
          <w:tcPr>
            <w:tcW w:w="211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08表</w:t>
            </w:r>
          </w:p>
        </w:tc>
      </w:tr>
      <w:tr>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hint="default" w:cs="宋体"/>
          <w:sz w:val="21"/>
          <w:szCs w:val="21"/>
        </w:rPr>
      </w:pPr>
      <w:r>
        <w:rPr>
          <w:rFonts w:hint="eastAsia" w:ascii="方正仿宋_GBK" w:hAnsi="方正仿宋_GBK" w:eastAsia="方正仿宋_GBK" w:cs="方正仿宋_GBK"/>
          <w:sz w:val="32"/>
          <w:szCs w:val="32"/>
          <w:lang w:val="en-US" w:eastAsia="zh-CN"/>
        </w:rPr>
        <w:t>本年无国有资本经营收支，故本表无数据。</w:t>
      </w: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jc w:val="center"/>
              <w:textAlignment w:val="bottom"/>
              <w:rPr>
                <w:rFonts w:hint="default" w:cs="宋体"/>
                <w:color w:val="000000"/>
                <w:sz w:val="44"/>
                <w:szCs w:val="44"/>
              </w:rPr>
            </w:pPr>
            <w:r>
              <w:rPr>
                <w:rFonts w:cs="宋体"/>
                <w:b/>
                <w:bCs/>
                <w:color w:val="000000"/>
                <w:sz w:val="30"/>
                <w:szCs w:val="30"/>
              </w:rPr>
              <w:t>机构运行信息决算表</w:t>
            </w:r>
          </w:p>
        </w:tc>
      </w:tr>
      <w:tr>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单位：</w:t>
            </w:r>
            <w:r>
              <w:rPr>
                <w:color w:val="000000"/>
                <w:sz w:val="20"/>
              </w:rPr>
              <w:t>巫溪县宣传文化互联网信息中心</w:t>
            </w:r>
          </w:p>
        </w:tc>
        <w:tc>
          <w:tcPr>
            <w:tcW w:w="428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09表</w:t>
            </w:r>
          </w:p>
        </w:tc>
      </w:tr>
      <w:tr>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一、“三公”经费支出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五、机关运行经费</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4.18 </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4.18 </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4.18 </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90</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929</w:t>
            </w: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86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二、会议费</w:t>
            </w:r>
          </w:p>
        </w:tc>
        <w:tc>
          <w:tcPr>
            <w:tcW w:w="867"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0.05</w:t>
            </w:r>
          </w:p>
        </w:tc>
        <w:tc>
          <w:tcPr>
            <w:tcW w:w="5317" w:type="dxa"/>
            <w:tcBorders>
              <w:top w:val="nil"/>
              <w:left w:val="nil"/>
              <w:bottom w:val="single" w:color="auto"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rPr>
                <w:rFonts w:hint="default" w:ascii="Arial" w:hAnsi="Arial" w:cs="Arial"/>
                <w:color w:val="000000"/>
                <w:sz w:val="20"/>
                <w:szCs w:val="20"/>
              </w:rPr>
            </w:pPr>
          </w:p>
        </w:tc>
      </w:tr>
      <w:tr>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0.07</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Arial" w:hAnsi="Arial" w:cs="Arial"/>
                <w:color w:val="000000"/>
                <w:sz w:val="20"/>
                <w:szCs w:val="20"/>
              </w:rPr>
            </w:pPr>
          </w:p>
        </w:tc>
      </w:tr>
      <w:tr>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cs="宋体"/>
                <w:b/>
                <w:bCs/>
                <w:color w:val="000000"/>
                <w:kern w:val="2"/>
                <w:sz w:val="22"/>
                <w:szCs w:val="22"/>
              </w:rPr>
            </w:pPr>
            <w:r>
              <w:rPr>
                <w:rFonts w:cs="宋体"/>
                <w:b/>
                <w:bCs/>
                <w:color w:val="000000"/>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4.39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Arial" w:hAnsi="Arial" w:cs="Arial"/>
                <w:color w:val="000000"/>
                <w:sz w:val="20"/>
                <w:szCs w:val="20"/>
              </w:rPr>
            </w:pPr>
          </w:p>
        </w:tc>
      </w:tr>
    </w:tbl>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65"/>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NzJjNDVmODk0ZTE1NjczZTE3NTFhYTMwYWIwYTgifQ=="/>
  </w:docVars>
  <w:rsids>
    <w:rsidRoot w:val="00B03CCD"/>
    <w:rsid w:val="0038680C"/>
    <w:rsid w:val="00550ABE"/>
    <w:rsid w:val="005C1750"/>
    <w:rsid w:val="007B419D"/>
    <w:rsid w:val="0087539B"/>
    <w:rsid w:val="009B67B8"/>
    <w:rsid w:val="00B03CCD"/>
    <w:rsid w:val="00CB2EE5"/>
    <w:rsid w:val="00D164B5"/>
    <w:rsid w:val="00EF70C2"/>
    <w:rsid w:val="00F641CF"/>
    <w:rsid w:val="00FE7556"/>
    <w:rsid w:val="01474EBF"/>
    <w:rsid w:val="01F3521E"/>
    <w:rsid w:val="03B34531"/>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151190"/>
    <w:rsid w:val="0F836721"/>
    <w:rsid w:val="10167CB9"/>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623820"/>
    <w:rsid w:val="469D6AD4"/>
    <w:rsid w:val="47674801"/>
    <w:rsid w:val="48225EF7"/>
    <w:rsid w:val="485C501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07B0CCB"/>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7841</Words>
  <Characters>5895</Characters>
  <Lines>49</Lines>
  <Paragraphs>27</Paragraphs>
  <TotalTime>2</TotalTime>
  <ScaleCrop>false</ScaleCrop>
  <LinksUpToDate>false</LinksUpToDate>
  <CharactersWithSpaces>13709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2025-09-17T09:38:32Z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D3B226F26D624D12889B6F94B08D916C</vt:lpwstr>
  </property>
</Properties>
</file>