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both"/>
        <w:textAlignment w:val="auto"/>
        <w:rPr>
          <w:rFonts w:hint="default" w:ascii="方正小标宋_GBK" w:hAnsi="方正小标宋_GBK" w:eastAsia="方正小标宋_GBK" w:cs="方正小标宋_GBK"/>
          <w:b w:val="0"/>
          <w:bCs w:val="0"/>
          <w:sz w:val="36"/>
          <w:szCs w:val="36"/>
          <w:lang w:val="en-US" w:eastAsia="zh-CN"/>
        </w:rPr>
      </w:pPr>
    </w:p>
    <w:p>
      <w:pPr>
        <w:pStyle w:val="5"/>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中国共产党巫溪县委员会宣传部</w:t>
      </w:r>
    </w:p>
    <w:p>
      <w:pPr>
        <w:pStyle w:val="5"/>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eastAsia" w:ascii="方正黑体_GBK" w:hAnsi="方正黑体_GBK" w:eastAsia="方正黑体_GBK" w:cs="方正黑体_GBK"/>
          <w:sz w:val="32"/>
          <w:szCs w:val="32"/>
          <w:shd w:val="clear" w:color="auto" w:fill="FFFFFF"/>
        </w:rPr>
      </w:pPr>
      <w:r>
        <w:rPr>
          <w:rStyle w:val="8"/>
          <w:rFonts w:hint="eastAsia" w:ascii="方正黑体_GBK" w:hAnsi="方正黑体_GBK" w:eastAsia="方正黑体_GBK" w:cs="方正黑体_GBK"/>
          <w:sz w:val="32"/>
          <w:szCs w:val="32"/>
          <w:shd w:val="clear" w:color="auto" w:fill="FFFFFF"/>
        </w:rPr>
        <w:t>一、</w:t>
      </w:r>
      <w:r>
        <w:rPr>
          <w:rStyle w:val="8"/>
          <w:rFonts w:hint="eastAsia" w:ascii="方正黑体_GBK" w:hAnsi="方正黑体_GBK" w:eastAsia="方正黑体_GBK" w:cs="方正黑体_GBK"/>
          <w:sz w:val="32"/>
          <w:szCs w:val="32"/>
          <w:shd w:val="clear" w:color="auto" w:fill="FFFFFF"/>
          <w:lang w:eastAsia="zh-CN"/>
        </w:rPr>
        <w:t>部门</w:t>
      </w:r>
      <w:r>
        <w:rPr>
          <w:rStyle w:val="8"/>
          <w:rFonts w:hint="eastAsia" w:ascii="方正黑体_GBK" w:hAnsi="方正黑体_GBK" w:eastAsia="方正黑体_GBK" w:cs="方正黑体_GBK"/>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N/>
        <w:bidi w:val="0"/>
        <w:adjustRightInd/>
        <w:spacing w:beforeAutospacing="0" w:line="594" w:lineRule="exact"/>
        <w:ind w:firstLine="643" w:firstLineChars="200"/>
        <w:textAlignment w:val="auto"/>
        <w:rPr>
          <w:rFonts w:hint="eastAsia" w:ascii="方正楷体_GBK" w:hAnsi="方正楷体_GBK" w:eastAsia="方正楷体_GBK" w:cs="方正楷体_GBK"/>
          <w:sz w:val="32"/>
          <w:szCs w:val="32"/>
        </w:rPr>
      </w:pPr>
      <w:r>
        <w:rPr>
          <w:rStyle w:val="8"/>
          <w:rFonts w:hint="eastAsia" w:ascii="方正楷体_GBK" w:hAnsi="方正楷体_GBK" w:eastAsia="方正楷体_GBK" w:cs="方正楷体_GBK"/>
          <w:sz w:val="32"/>
          <w:szCs w:val="32"/>
          <w:shd w:val="clear" w:color="auto" w:fill="FFFFFF"/>
        </w:rPr>
        <w:t>（一）职能职责</w:t>
      </w:r>
    </w:p>
    <w:p>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ascii="方正仿宋_GBK" w:hAnsi="方正仿宋_GBK" w:eastAsia="方正仿宋_GBK" w:cs="方正仿宋_GBK"/>
          <w:color w:val="auto"/>
          <w:sz w:val="32"/>
          <w:szCs w:val="32"/>
        </w:rPr>
        <w:t>1.拟订全县宣传思想文化工作重大政策举措和事业发展总体规划。统筹协调推进全县宣传思想文化领域法治建设。按照县委统一部署，协调宣传思想文化系统各部门之间的工作。</w:t>
      </w:r>
    </w:p>
    <w:p>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2.统筹协调全县党的意识形态工作，贯彻落实党中央、市委和县委关于意识形态工作决策部署，组织协调全县意识形态工作责任制落实和日常监督检查，结合巡察工作开展专项检查。</w:t>
      </w:r>
    </w:p>
    <w:p>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3.统筹指导协调全县理论研究、理论学习、理论宣传工作，组织推动理论武装工作，组织实施马克思主义理论研究和建设工程。统筹协调、指导管理全县新型智库建设。</w:t>
      </w:r>
    </w:p>
    <w:p>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4.负责规划组织全县思想政治工作，配合中共巫溪县委组织部做好党员教育工作，指导协调编写党员教育教材，会同有关部门研究和改进群众思想教育工作。</w:t>
      </w:r>
    </w:p>
    <w:p>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5.负责指导、协调全县精神文明建设工作。</w:t>
      </w:r>
    </w:p>
    <w:p>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6.统筹分析研判和引导社会舆论，指导协调各新闻部门工作，组织全县突发公共事件应急新闻工作。</w:t>
      </w:r>
    </w:p>
    <w:p>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7.拟订全县新闻出版业的管理政策并督促落实，管理新闻出版行政事务，组织协调有关审批工作，统筹规划和指导协调新闻出版事业、产业发展，监督管理出版物内容和质量，监督管理印刷发行业，负责著作权保护管理和公共服务，管理出版物进出口等。组织指导协调全县“扫黄打非”工作。负责各新闻部门驻巫分支机构的服务监督管理，负责全县新闻记者证的管理。</w:t>
      </w:r>
    </w:p>
    <w:p>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8.负责全县互联网信息内容管理，统筹协调组织全县互联网宣传管理和舆论引导工作。统筹协调数字新媒体的建设与管理。</w:t>
      </w:r>
    </w:p>
    <w:p>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9.从宏观上统筹指导协调推动精神文化产品的创作和生产，协调组织全县中华优秀传统文化传承发展有关工作，指导协调推动群众文化建设。</w:t>
      </w:r>
    </w:p>
    <w:p>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10.负责管理电影行政事务，指导监管电影制片、发行、放映工作，组织对电影内容进行审查，指导协调全县性重大电影活动。</w:t>
      </w:r>
    </w:p>
    <w:p>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11.对新闻出版、广播影视、文化艺术业改革发展研究提出政策性建议，统筹指导协调文化体制改革和文化事业、文化产业及旅游业发展，指导协调国有文化资产监管工作。承担县委全面深化改革委员会文化体制改革专项小组日常工作。</w:t>
      </w:r>
    </w:p>
    <w:p>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12.统筹指导舆情信息工作，组织协调开展县内外舆情信息收集分析研判工作，跟踪了解、研究掌握宣传舆情动态。</w:t>
      </w:r>
    </w:p>
    <w:p>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13.统筹协调对外宣传工作，指导协调有关部门研究拟订对外宣传工作规划、重大政策举措和对外宣传事业发展总体规划。统筹组织对外传播能力建设，指导对外文化交流工作，协调推动中华文化走出去工作。负责人权宣传工作的组织协调。</w:t>
      </w:r>
    </w:p>
    <w:p>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14.统筹协调组织开展新闻发布工作，承担县委新闻发布有关组织协调工作，负责县政府新闻发布组织实施工作，指导协调县级各部门和各乡镇（街道）的新闻发布工作，推动完善新闻发言人制度建设。负责牵头拟订全县重大问题对外宣传口径，指导拟订重大事项信息公开口径。</w:t>
      </w:r>
    </w:p>
    <w:p>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15.负责组织开展新闻领域对外交流与合作，统筹协调指导推动与县外新闻管理机构、主要新闻媒体和智库的合作传播，会同有关部门做好各新闻部门驻巫分支机构和来访记者采访事务方面的工作，协同有关部门开展涉及港澳台的宣传工作。</w:t>
      </w:r>
    </w:p>
    <w:p>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16.对乡镇（街道）宣传委员的任免提出意见。负责组织开展全县宣传思想文化系统干部教育培训和人才工作。联系宣传系统知识分子，配合有关部门做好知识分子工作。</w:t>
      </w:r>
    </w:p>
    <w:p>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17.联系中共巫溪县委党史研究室，在政治方向和方针、政策方面实施领导。归口领导巫溪县文化和旅游发展委员会。受县委委托，代管巫溪县文学艺术界联合会、巫溪县社会科学界联合会。</w:t>
      </w:r>
    </w:p>
    <w:p>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18.负责部机关、直属事业部门党建工作，以及负责县级宣传思想文化部门基层党建工作、精神文明建设工作。</w:t>
      </w:r>
    </w:p>
    <w:p>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19.完成县委交办的其他任务。</w:t>
      </w:r>
    </w:p>
    <w:p>
      <w:pPr>
        <w:pStyle w:val="5"/>
        <w:keepNext w:val="0"/>
        <w:keepLines w:val="0"/>
        <w:pageBreakBefore w:val="0"/>
        <w:widowControl/>
        <w:shd w:val="clear" w:color="auto" w:fill="FFFFFF"/>
        <w:kinsoku/>
        <w:wordWrap/>
        <w:overflowPunct/>
        <w:topLinePunct w:val="0"/>
        <w:autoSpaceDN/>
        <w:bidi w:val="0"/>
        <w:adjustRightInd/>
        <w:spacing w:beforeAutospacing="0" w:line="594" w:lineRule="exact"/>
        <w:ind w:firstLine="643" w:firstLineChars="200"/>
        <w:textAlignment w:val="auto"/>
        <w:rPr>
          <w:rStyle w:val="8"/>
          <w:rFonts w:hint="eastAsia" w:ascii="方正楷体_GBK" w:hAnsi="方正楷体_GBK" w:eastAsia="方正楷体_GBK" w:cs="方正楷体_GBK"/>
          <w:color w:val="auto"/>
          <w:sz w:val="32"/>
          <w:szCs w:val="32"/>
          <w:shd w:val="clear" w:color="auto" w:fill="FFFFFF"/>
        </w:rPr>
      </w:pPr>
      <w:r>
        <w:rPr>
          <w:rStyle w:val="8"/>
          <w:rFonts w:hint="eastAsia" w:ascii="方正楷体_GBK" w:hAnsi="方正楷体_GBK" w:eastAsia="方正楷体_GBK" w:cs="方正楷体_GBK"/>
          <w:color w:val="auto"/>
          <w:sz w:val="32"/>
          <w:szCs w:val="32"/>
          <w:shd w:val="clear" w:color="auto" w:fill="FFFFFF"/>
        </w:rPr>
        <w:t>（二）机构设置</w:t>
      </w:r>
    </w:p>
    <w:p>
      <w:pPr>
        <w:pStyle w:val="5"/>
        <w:keepNext w:val="0"/>
        <w:keepLines w:val="0"/>
        <w:pageBreakBefore w:val="0"/>
        <w:widowControl/>
        <w:shd w:val="clear" w:color="auto" w:fill="FFFFFF"/>
        <w:kinsoku/>
        <w:wordWrap/>
        <w:overflowPunct/>
        <w:topLinePunct w:val="0"/>
        <w:autoSpaceDN/>
        <w:bidi w:val="0"/>
        <w:adjustRightInd/>
        <w:spacing w:beforeAutospacing="0" w:line="594" w:lineRule="exact"/>
        <w:ind w:firstLine="640" w:firstLineChars="200"/>
        <w:textAlignment w:val="auto"/>
        <w:rPr>
          <w:rFonts w:hint="default"/>
          <w:color w:val="auto"/>
        </w:rPr>
      </w:pPr>
      <w:r>
        <w:rPr>
          <w:rFonts w:ascii="方正仿宋_GBK" w:hAnsi="方正仿宋_GBK" w:eastAsia="方正仿宋_GBK" w:cs="方正仿宋_GBK"/>
          <w:color w:val="auto"/>
          <w:sz w:val="32"/>
          <w:szCs w:val="32"/>
        </w:rPr>
        <w:t>中共巫溪县委宣传部内设巫溪县精神文明建设委员会办公</w:t>
      </w:r>
      <w:r>
        <w:rPr>
          <w:rFonts w:hint="default" w:ascii="方正仿宋_GBK" w:hAnsi="方正仿宋_GBK" w:eastAsia="方正仿宋_GBK" w:cs="方正仿宋_GBK"/>
          <w:color w:val="auto"/>
          <w:sz w:val="32"/>
          <w:szCs w:val="32"/>
        </w:rPr>
        <w:t>室、中共巫溪县委对外宣传办公室（巫溪县人民政府新闻办公室）和8个职能科室。</w:t>
      </w:r>
    </w:p>
    <w:p>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巫溪县精神文明建设委员会办公室：制定全县精神文明建设工作规划、协调、指导全县未成年人思想道建设工作、负责指导、协调全县志愿服务工作。</w:t>
      </w:r>
    </w:p>
    <w:p>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中共巫溪县委对外宣传办公室（巫溪县人民政府新闻办公室）：负责指导协调对外宣传工作，协调有关部门研究拟订对外宣传工作战略、重大方针政策和对外宣传事业发展总体规划、负责组织开展新闻发布工作，负责县政府新闻发布工作，指导协调县级各部门和各乡镇（街道）的新闻发布工作，推动新闻发言人制度建设</w:t>
      </w:r>
    </w:p>
    <w:p>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办公室： 负责文电、会务、政务值班、机要、档案、信息报送、督查、行政后勤等机关日常运转工作，负责安全保密、机关财务等工作</w:t>
      </w:r>
    </w:p>
    <w:p>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理论科：负责对全县理论研究、理论学习、理论宣传和理论队伍建设的指导协调，对全县各级中心组学习进行分类指导、负责调查研究宣传思想文化工作的方针政策及法律法规建议情况并提出建议。</w:t>
      </w:r>
    </w:p>
    <w:p>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宣传教育科：负责规划部署全县思想政治工作任务，组织指导全县各类社会宣传、社会教育工作。组织全县重大先进典型的学习和推广、组织爱国主义教育工作，协同承担全县国防教育工作新闻科 ：负责新闻舆论的宏观管理业务、组织协调新闻宣传报道以及新闻工作的综合协调，负责从宏观上指导协调互联网宣传和信息内容管理工作、组织全县突发公共事件应急新闻工作、协调出版物市场监管等。</w:t>
      </w:r>
    </w:p>
    <w:p>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文化产业发展指导科 ：统筹指导全县文化产业发展工作、研究制定全县文化产业发展规划和政策，统筹规划全县文化产业课题研究、协调推进全县文化产业重大项目规划建设。</w:t>
      </w:r>
    </w:p>
    <w:p>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hint="default"/>
          <w:color w:val="auto"/>
        </w:rPr>
      </w:pPr>
      <w:r>
        <w:rPr>
          <w:rFonts w:hint="default" w:ascii="方正仿宋_GBK" w:hAnsi="方正仿宋_GBK" w:eastAsia="方正仿宋_GBK" w:cs="方正仿宋_GBK"/>
          <w:color w:val="auto"/>
          <w:sz w:val="32"/>
          <w:szCs w:val="32"/>
        </w:rPr>
        <w:t>干部人事科（挂群众工作科）：会同县委组织部负责县级宣传思想文化系统部门干部管理的业务工作、对各乡镇（街道）宣传委员的任免提出意见、负责举办部门和县级有关重要宣传舆论阵地、重要岗位领导干部管理。</w:t>
      </w:r>
    </w:p>
    <w:p>
      <w:pPr>
        <w:pStyle w:val="5"/>
        <w:keepNext w:val="0"/>
        <w:keepLines w:val="0"/>
        <w:pageBreakBefore w:val="0"/>
        <w:widowControl/>
        <w:kinsoku/>
        <w:wordWrap/>
        <w:overflowPunct/>
        <w:topLinePunct w:val="0"/>
        <w:autoSpaceDN/>
        <w:bidi w:val="0"/>
        <w:adjustRightInd/>
        <w:spacing w:before="0" w:beforeAutospacing="0" w:after="160" w:afterAutospacing="0" w:line="594" w:lineRule="exact"/>
        <w:ind w:firstLine="640" w:firstLineChars="200"/>
        <w:textAlignment w:val="auto"/>
        <w:rPr>
          <w:rFonts w:ascii="方正仿宋_GBK" w:hAnsi="方正仿宋_GBK" w:eastAsia="方正仿宋_GBK" w:cs="方正仿宋_GBK"/>
          <w:color w:val="auto"/>
          <w:sz w:val="32"/>
          <w:szCs w:val="32"/>
        </w:rPr>
      </w:pPr>
      <w:r>
        <w:rPr>
          <w:rFonts w:hint="default" w:ascii="方正仿宋_GBK" w:hAnsi="方正仿宋_GBK" w:eastAsia="方正仿宋_GBK" w:cs="方正仿宋_GBK"/>
          <w:color w:val="auto"/>
          <w:sz w:val="32"/>
          <w:szCs w:val="32"/>
        </w:rPr>
        <w:t>中共巫溪县委宣传部是县委主管意识形态方面工作的职能部门，为正科级，列县委工作机关序列，加挂县政府新闻办公室、县新闻出版局牌子。巫溪县精神文明建设委员会办公室、中共巫溪县委网络安全和信息化委员会办公室职责由县委宣传部承担。内设6个职能科室并与县文联、县宣传文化互联网信息中心、新时代文明实践服务中心合署办公</w:t>
      </w:r>
      <w:r>
        <w:rPr>
          <w:rFonts w:ascii="方正仿宋_GBK" w:hAnsi="方正仿宋_GBK" w:eastAsia="方正仿宋_GBK" w:cs="方正仿宋_GBK"/>
          <w:color w:val="auto"/>
          <w:sz w:val="32"/>
          <w:szCs w:val="32"/>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eastAsia" w:ascii="方正黑体_GBK" w:hAnsi="方正黑体_GBK" w:eastAsia="方正黑体_GBK" w:cs="方正黑体_GBK"/>
          <w:color w:val="auto"/>
          <w:sz w:val="32"/>
          <w:szCs w:val="32"/>
          <w:shd w:val="clear" w:color="auto" w:fill="FFFFFF"/>
        </w:rPr>
      </w:pPr>
      <w:r>
        <w:rPr>
          <w:rStyle w:val="8"/>
          <w:rFonts w:hint="eastAsia" w:ascii="方正黑体_GBK" w:hAnsi="方正黑体_GBK" w:eastAsia="方正黑体_GBK" w:cs="方正黑体_GBK"/>
          <w:color w:val="auto"/>
          <w:sz w:val="32"/>
          <w:szCs w:val="32"/>
          <w:shd w:val="clear" w:color="auto" w:fill="FFFFFF"/>
        </w:rPr>
        <w:t>二、</w:t>
      </w:r>
      <w:r>
        <w:rPr>
          <w:rStyle w:val="8"/>
          <w:rFonts w:hint="eastAsia" w:ascii="方正黑体_GBK" w:hAnsi="方正黑体_GBK" w:eastAsia="方正黑体_GBK" w:cs="方正黑体_GBK"/>
          <w:color w:val="auto"/>
          <w:sz w:val="32"/>
          <w:szCs w:val="32"/>
          <w:shd w:val="clear" w:color="auto" w:fill="FFFFFF"/>
          <w:lang w:eastAsia="zh-CN"/>
        </w:rPr>
        <w:t>部门</w:t>
      </w:r>
      <w:r>
        <w:rPr>
          <w:rStyle w:val="8"/>
          <w:rFonts w:hint="eastAsia" w:ascii="方正黑体_GBK" w:hAnsi="方正黑体_GBK" w:eastAsia="方正黑体_GBK" w:cs="方正黑体_GBK"/>
          <w:color w:val="auto"/>
          <w:sz w:val="32"/>
          <w:szCs w:val="32"/>
          <w:shd w:val="clear" w:color="auto" w:fill="FFFFFF"/>
        </w:rPr>
        <w:t>决算</w:t>
      </w:r>
      <w:r>
        <w:rPr>
          <w:rStyle w:val="8"/>
          <w:rFonts w:hint="eastAsia" w:ascii="方正黑体_GBK" w:hAnsi="方正黑体_GBK" w:eastAsia="方正黑体_GBK" w:cs="方正黑体_GBK"/>
          <w:color w:val="auto"/>
          <w:sz w:val="32"/>
          <w:szCs w:val="32"/>
          <w:shd w:val="clear" w:color="auto" w:fill="FFFFFF"/>
          <w:lang w:eastAsia="zh-CN"/>
        </w:rPr>
        <w:t>收支</w:t>
      </w:r>
      <w:r>
        <w:rPr>
          <w:rStyle w:val="8"/>
          <w:rFonts w:hint="eastAsia" w:ascii="方正黑体_GBK" w:hAnsi="方正黑体_GBK" w:eastAsia="方正黑体_GBK" w:cs="方正黑体_GBK"/>
          <w:color w:val="auto"/>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pacing w:beforeAutospacing="0" w:line="594" w:lineRule="exact"/>
        <w:ind w:left="0" w:leftChars="0" w:firstLine="643" w:firstLineChars="200"/>
        <w:textAlignment w:val="auto"/>
        <w:rPr>
          <w:rFonts w:hint="eastAsia" w:ascii="方正楷体_GBK" w:hAnsi="方正楷体_GBK" w:eastAsia="方正楷体_GBK" w:cs="方正楷体_GBK"/>
          <w:b/>
          <w:bCs/>
          <w:color w:val="auto"/>
          <w:sz w:val="32"/>
          <w:szCs w:val="32"/>
          <w:shd w:val="clear" w:color="auto" w:fill="FFFFFF"/>
        </w:rPr>
      </w:pPr>
      <w:r>
        <w:rPr>
          <w:rFonts w:hint="eastAsia" w:ascii="方正楷体_GBK" w:hAnsi="方正楷体_GBK" w:eastAsia="方正楷体_GBK" w:cs="方正楷体_GBK"/>
          <w:b/>
          <w:bCs/>
          <w:color w:val="auto"/>
          <w:sz w:val="32"/>
          <w:szCs w:val="32"/>
          <w:shd w:val="clear" w:color="auto" w:fill="FFFFFF"/>
        </w:rPr>
        <w:t>（一）收入支出决算总体情况说明。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Autospacing="0" w:line="594" w:lineRule="exact"/>
        <w:ind w:firstLine="643" w:firstLineChars="200"/>
        <w:textAlignment w:val="auto"/>
        <w:rPr>
          <w:rFonts w:hint="default" w:ascii="方正仿宋_GBK" w:hAnsi="方正仿宋_GBK" w:eastAsia="方正仿宋_GBK" w:cs="方正仿宋_GBK"/>
          <w:color w:val="auto"/>
          <w:sz w:val="32"/>
          <w:szCs w:val="32"/>
          <w:lang w:val="en-US" w:eastAsia="zh-CN"/>
        </w:rPr>
      </w:pPr>
      <w:r>
        <w:rPr>
          <w:rStyle w:val="8"/>
          <w:rFonts w:ascii="方正仿宋_GBK" w:hAnsi="方正仿宋_GBK" w:eastAsia="方正仿宋_GBK" w:cs="方正仿宋_GBK"/>
          <w:color w:val="auto"/>
          <w:sz w:val="32"/>
          <w:szCs w:val="32"/>
          <w:shd w:val="clear" w:color="auto" w:fill="FFFFFF"/>
        </w:rPr>
        <w:t>1.总体情况。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度收入总计1964.44万元，支出总计</w:t>
      </w:r>
      <w:r>
        <w:rPr>
          <w:rFonts w:ascii="方正仿宋_GBK" w:hAnsi="方正仿宋_GBK" w:eastAsia="方正仿宋_GBK" w:cs="方正仿宋_GBK"/>
          <w:color w:val="auto"/>
          <w:sz w:val="32"/>
          <w:szCs w:val="32"/>
        </w:rPr>
        <w:t>1964.44</w:t>
      </w:r>
      <w:r>
        <w:rPr>
          <w:rFonts w:ascii="方正仿宋_GBK" w:hAnsi="方正仿宋_GBK" w:eastAsia="方正仿宋_GBK" w:cs="方正仿宋_GBK"/>
          <w:color w:val="auto"/>
          <w:sz w:val="32"/>
          <w:szCs w:val="32"/>
          <w:shd w:val="clear" w:color="auto" w:fill="FFFFFF"/>
        </w:rPr>
        <w:t>万元。收、支与2023年度相比，增加266.16万元，增长15.7%，主要原因是</w:t>
      </w:r>
      <w:r>
        <w:rPr>
          <w:rFonts w:hint="eastAsia" w:ascii="方正仿宋_GBK" w:hAnsi="方正仿宋_GBK" w:eastAsia="方正仿宋_GBK" w:cs="方正仿宋_GBK"/>
          <w:color w:val="auto"/>
          <w:sz w:val="32"/>
          <w:szCs w:val="32"/>
          <w:shd w:val="clear" w:color="auto" w:fill="FFFFFF"/>
          <w:lang w:val="en-US" w:eastAsia="zh-CN"/>
        </w:rPr>
        <w:t>本部门2024年对外宣传、全国文明城市建设公益广告、广告设计制作安装等项目增加。</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rPr>
      </w:pPr>
      <w:r>
        <w:rPr>
          <w:rStyle w:val="8"/>
          <w:rFonts w:ascii="方正仿宋_GBK" w:hAnsi="方正仿宋_GBK" w:eastAsia="方正仿宋_GBK" w:cs="方正仿宋_GBK"/>
          <w:color w:val="auto"/>
          <w:sz w:val="32"/>
          <w:szCs w:val="32"/>
          <w:shd w:val="clear" w:color="auto" w:fill="FFFFFF"/>
        </w:rPr>
        <w:t>2.收入情况。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度收入合计1964.44万元，与2023年度相比，增加266.16万元，增长15.7%，主要原因是</w:t>
      </w:r>
      <w:r>
        <w:rPr>
          <w:rFonts w:hint="eastAsia" w:ascii="方正仿宋_GBK" w:hAnsi="方正仿宋_GBK" w:eastAsia="方正仿宋_GBK" w:cs="方正仿宋_GBK"/>
          <w:color w:val="auto"/>
          <w:sz w:val="32"/>
          <w:szCs w:val="32"/>
          <w:shd w:val="clear" w:color="auto" w:fill="FFFFFF"/>
          <w:lang w:val="en-US" w:eastAsia="zh-CN"/>
        </w:rPr>
        <w:t>本部门2024年对外宣传、全国文明城市建设公益广告、广告设计制作安装等项目增加。</w:t>
      </w:r>
      <w:r>
        <w:rPr>
          <w:rFonts w:ascii="方正仿宋_GBK" w:hAnsi="方正仿宋_GBK" w:eastAsia="方正仿宋_GBK" w:cs="方正仿宋_GBK"/>
          <w:color w:val="auto"/>
          <w:sz w:val="32"/>
          <w:szCs w:val="32"/>
          <w:shd w:val="clear" w:color="auto" w:fill="FFFFFF"/>
        </w:rPr>
        <w:t>其中：财政拨款收入</w:t>
      </w:r>
      <w:r>
        <w:rPr>
          <w:rFonts w:ascii="方正仿宋_GBK" w:hAnsi="方正仿宋_GBK" w:eastAsia="方正仿宋_GBK" w:cs="方正仿宋_GBK"/>
          <w:color w:val="auto"/>
          <w:sz w:val="32"/>
          <w:szCs w:val="32"/>
        </w:rPr>
        <w:t>1964.44</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%；事业收入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万元，占0.00%；经营收入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万元，占0.00%；其他收入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万元，占0.00%。此外，使用非财政拨款结余和专用结余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万元，年初结转和结余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rPr>
      </w:pPr>
      <w:r>
        <w:rPr>
          <w:rStyle w:val="8"/>
          <w:rFonts w:ascii="方正仿宋_GBK" w:hAnsi="方正仿宋_GBK" w:eastAsia="方正仿宋_GBK" w:cs="方正仿宋_GBK"/>
          <w:color w:val="auto"/>
          <w:sz w:val="32"/>
          <w:szCs w:val="32"/>
          <w:shd w:val="clear" w:color="auto" w:fill="FFFFFF"/>
        </w:rPr>
        <w:t>3.支出情况。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度支出合计</w:t>
      </w:r>
      <w:r>
        <w:rPr>
          <w:rFonts w:ascii="方正仿宋_GBK" w:hAnsi="方正仿宋_GBK" w:eastAsia="方正仿宋_GBK" w:cs="方正仿宋_GBK"/>
          <w:color w:val="auto"/>
          <w:sz w:val="32"/>
          <w:szCs w:val="32"/>
        </w:rPr>
        <w:t>1964.44</w:t>
      </w:r>
      <w:r>
        <w:rPr>
          <w:rFonts w:ascii="方正仿宋_GBK" w:hAnsi="方正仿宋_GBK" w:eastAsia="方正仿宋_GBK" w:cs="方正仿宋_GBK"/>
          <w:color w:val="auto"/>
          <w:sz w:val="32"/>
          <w:szCs w:val="32"/>
          <w:shd w:val="clear" w:color="auto" w:fill="FFFFFF"/>
        </w:rPr>
        <w:t>万元，与2023年度相比，增加266.16万元，增长15.7%，主要原因是</w:t>
      </w:r>
      <w:r>
        <w:rPr>
          <w:rFonts w:hint="eastAsia" w:ascii="方正仿宋_GBK" w:hAnsi="方正仿宋_GBK" w:eastAsia="方正仿宋_GBK" w:cs="方正仿宋_GBK"/>
          <w:color w:val="auto"/>
          <w:sz w:val="32"/>
          <w:szCs w:val="32"/>
          <w:shd w:val="clear" w:color="auto" w:fill="FFFFFF"/>
          <w:lang w:val="en-US" w:eastAsia="zh-CN"/>
        </w:rPr>
        <w:t>本部门2024年对外宣传、全国文明城市建设公益广告、广告设计制作安装等项目增加。</w:t>
      </w:r>
      <w:r>
        <w:rPr>
          <w:rFonts w:ascii="方正仿宋_GBK" w:hAnsi="方正仿宋_GBK" w:eastAsia="方正仿宋_GBK" w:cs="方正仿宋_GBK"/>
          <w:color w:val="auto"/>
          <w:sz w:val="32"/>
          <w:szCs w:val="32"/>
          <w:shd w:val="clear" w:color="auto" w:fill="FFFFFF"/>
        </w:rPr>
        <w:t>其中：基本支出</w:t>
      </w:r>
      <w:r>
        <w:rPr>
          <w:rFonts w:ascii="方正仿宋_GBK" w:hAnsi="方正仿宋_GBK" w:eastAsia="方正仿宋_GBK" w:cs="方正仿宋_GBK"/>
          <w:color w:val="auto"/>
          <w:sz w:val="32"/>
          <w:szCs w:val="32"/>
        </w:rPr>
        <w:t>831.17</w:t>
      </w:r>
      <w:r>
        <w:rPr>
          <w:rFonts w:ascii="方正仿宋_GBK" w:hAnsi="方正仿宋_GBK" w:eastAsia="方正仿宋_GBK" w:cs="方正仿宋_GBK"/>
          <w:color w:val="auto"/>
          <w:sz w:val="32"/>
          <w:szCs w:val="32"/>
          <w:shd w:val="clear" w:color="auto" w:fill="FFFFFF"/>
        </w:rPr>
        <w:t>万元，占42.31%；项目支出</w:t>
      </w:r>
      <w:r>
        <w:rPr>
          <w:rFonts w:ascii="方正仿宋_GBK" w:hAnsi="方正仿宋_GBK" w:eastAsia="方正仿宋_GBK" w:cs="方正仿宋_GBK"/>
          <w:color w:val="auto"/>
          <w:sz w:val="32"/>
          <w:szCs w:val="32"/>
        </w:rPr>
        <w:t>1133.27</w:t>
      </w:r>
      <w:r>
        <w:rPr>
          <w:rFonts w:ascii="方正仿宋_GBK" w:hAnsi="方正仿宋_GBK" w:eastAsia="方正仿宋_GBK" w:cs="方正仿宋_GBK"/>
          <w:color w:val="auto"/>
          <w:sz w:val="32"/>
          <w:szCs w:val="32"/>
          <w:shd w:val="clear" w:color="auto" w:fill="FFFFFF"/>
        </w:rPr>
        <w:t>万元，占57.69%；经营支出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万元，占0.00%。此外，结余分配</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color w:val="auto"/>
          <w:sz w:val="32"/>
          <w:szCs w:val="32"/>
          <w:lang w:eastAsia="zh-CN"/>
        </w:rPr>
      </w:pPr>
      <w:r>
        <w:rPr>
          <w:rStyle w:val="8"/>
          <w:rFonts w:ascii="方正仿宋_GBK" w:hAnsi="方正仿宋_GBK" w:eastAsia="方正仿宋_GBK" w:cs="方正仿宋_GBK"/>
          <w:color w:val="auto"/>
          <w:sz w:val="32"/>
          <w:szCs w:val="32"/>
          <w:shd w:val="clear" w:color="auto" w:fill="FFFFFF"/>
        </w:rPr>
        <w:t>4.结转结余情况。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严格执行预算，无结余。</w:t>
      </w:r>
    </w:p>
    <w:p>
      <w:pPr>
        <w:pStyle w:val="9"/>
        <w:keepNext w:val="0"/>
        <w:keepLines w:val="0"/>
        <w:pageBreakBefore w:val="0"/>
        <w:widowControl/>
        <w:kinsoku/>
        <w:wordWrap/>
        <w:overflowPunct/>
        <w:topLinePunct w:val="0"/>
        <w:autoSpaceDE w:val="0"/>
        <w:autoSpaceDN/>
        <w:bidi w:val="0"/>
        <w:adjustRightInd/>
        <w:spacing w:beforeAutospacing="0" w:line="594" w:lineRule="exact"/>
        <w:ind w:left="0" w:leftChars="0" w:firstLine="643" w:firstLineChars="200"/>
        <w:textAlignment w:val="auto"/>
        <w:rPr>
          <w:rFonts w:hint="eastAsia" w:ascii="方正楷体_GBK" w:hAnsi="方正楷体_GBK" w:eastAsia="方正楷体_GBK" w:cs="方正楷体_GBK"/>
          <w:b/>
          <w:bCs/>
          <w:color w:val="auto"/>
          <w:sz w:val="32"/>
          <w:szCs w:val="32"/>
          <w:shd w:val="clear" w:color="auto" w:fill="FFFFFF"/>
        </w:rPr>
      </w:pPr>
      <w:r>
        <w:rPr>
          <w:rFonts w:hint="eastAsia" w:ascii="方正楷体_GBK" w:hAnsi="方正楷体_GBK" w:eastAsia="方正楷体_GBK" w:cs="方正楷体_GBK"/>
          <w:b/>
          <w:bCs/>
          <w:color w:val="auto"/>
          <w:sz w:val="32"/>
          <w:szCs w:val="32"/>
          <w:shd w:val="clear" w:color="auto" w:fill="FFFFFF"/>
        </w:rPr>
        <w:t>（二）财政拨款收入支出决算总体情况说明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度财政拨款收、支总计1964.44万元。与202</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年相比，财政拨款收、支总计各增加266.16万元，增长15.7%。主要原因是</w:t>
      </w:r>
      <w:r>
        <w:rPr>
          <w:rFonts w:hint="eastAsia" w:ascii="方正仿宋_GBK" w:hAnsi="方正仿宋_GBK" w:eastAsia="方正仿宋_GBK" w:cs="方正仿宋_GBK"/>
          <w:color w:val="auto"/>
          <w:sz w:val="32"/>
          <w:szCs w:val="32"/>
          <w:shd w:val="clear" w:color="auto" w:fill="FFFFFF"/>
          <w:lang w:val="en-US" w:eastAsia="zh-CN"/>
        </w:rPr>
        <w:t>本部门2024年对外宣传、全国文明城市建设公益广告、广告设计制作安装等项目增加。</w:t>
      </w:r>
    </w:p>
    <w:p>
      <w:pPr>
        <w:pStyle w:val="9"/>
        <w:keepNext w:val="0"/>
        <w:keepLines w:val="0"/>
        <w:pageBreakBefore w:val="0"/>
        <w:widowControl/>
        <w:kinsoku/>
        <w:wordWrap/>
        <w:overflowPunct/>
        <w:topLinePunct w:val="0"/>
        <w:autoSpaceDE w:val="0"/>
        <w:autoSpaceDN/>
        <w:bidi w:val="0"/>
        <w:adjustRightInd/>
        <w:spacing w:beforeAutospacing="0" w:line="594" w:lineRule="exact"/>
        <w:ind w:left="0" w:leftChars="0" w:firstLine="643" w:firstLineChars="200"/>
        <w:textAlignment w:val="auto"/>
        <w:rPr>
          <w:rFonts w:hint="eastAsia" w:ascii="方正楷体_GBK" w:hAnsi="方正楷体_GBK" w:eastAsia="方正楷体_GBK" w:cs="方正楷体_GBK"/>
          <w:b/>
          <w:bCs/>
          <w:color w:val="auto"/>
          <w:sz w:val="32"/>
          <w:szCs w:val="32"/>
          <w:shd w:val="clear" w:color="auto" w:fill="FFFFFF"/>
        </w:rPr>
      </w:pPr>
      <w:r>
        <w:rPr>
          <w:rFonts w:hint="eastAsia" w:ascii="方正楷体_GBK" w:hAnsi="方正楷体_GBK" w:eastAsia="方正楷体_GBK" w:cs="方正楷体_GBK"/>
          <w:b/>
          <w:bCs/>
          <w:color w:val="auto"/>
          <w:sz w:val="32"/>
          <w:szCs w:val="32"/>
          <w:shd w:val="clear" w:color="auto" w:fill="FFFFFF"/>
        </w:rPr>
        <w:t>（三）一般公共预算财政拨款收入支出决算情况说明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color w:val="auto"/>
          <w:sz w:val="32"/>
          <w:szCs w:val="32"/>
        </w:rPr>
      </w:pPr>
      <w:r>
        <w:rPr>
          <w:rStyle w:val="8"/>
          <w:rFonts w:ascii="方正仿宋_GBK" w:hAnsi="方正仿宋_GBK" w:eastAsia="方正仿宋_GBK" w:cs="方正仿宋_GBK"/>
          <w:color w:val="auto"/>
          <w:sz w:val="32"/>
          <w:szCs w:val="32"/>
          <w:shd w:val="clear" w:color="auto" w:fill="FFFFFF"/>
        </w:rPr>
        <w:t>1.收入情况。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度一般公共预算财政拨款收入</w:t>
      </w:r>
      <w:r>
        <w:rPr>
          <w:rFonts w:ascii="方正仿宋_GBK" w:hAnsi="方正仿宋_GBK" w:eastAsia="方正仿宋_GBK" w:cs="方正仿宋_GBK"/>
          <w:color w:val="auto"/>
          <w:sz w:val="32"/>
          <w:szCs w:val="32"/>
        </w:rPr>
        <w:t>1864.44</w:t>
      </w:r>
      <w:r>
        <w:rPr>
          <w:rFonts w:ascii="方正仿宋_GBK" w:hAnsi="方正仿宋_GBK" w:eastAsia="方正仿宋_GBK" w:cs="方正仿宋_GBK"/>
          <w:color w:val="auto"/>
          <w:sz w:val="32"/>
          <w:szCs w:val="32"/>
          <w:shd w:val="clear" w:color="auto" w:fill="FFFFFF"/>
        </w:rPr>
        <w:t>万元，与2023年度相比，增加270.16万元，增长17.0%。主要原因是</w:t>
      </w:r>
      <w:r>
        <w:rPr>
          <w:rFonts w:hint="eastAsia" w:ascii="方正仿宋_GBK" w:hAnsi="方正仿宋_GBK" w:eastAsia="方正仿宋_GBK" w:cs="方正仿宋_GBK"/>
          <w:color w:val="auto"/>
          <w:sz w:val="32"/>
          <w:szCs w:val="32"/>
          <w:shd w:val="clear" w:color="auto" w:fill="FFFFFF"/>
          <w:lang w:val="en-US" w:eastAsia="zh-CN"/>
        </w:rPr>
        <w:t>本部门2024年对外宣传、全国文明城市建设公益广告、广告设计制作安装等项目增加。</w:t>
      </w:r>
      <w:r>
        <w:rPr>
          <w:rFonts w:ascii="方正仿宋_GBK" w:hAnsi="方正仿宋_GBK" w:eastAsia="方正仿宋_GBK" w:cs="方正仿宋_GBK"/>
          <w:color w:val="auto"/>
          <w:sz w:val="32"/>
          <w:szCs w:val="32"/>
          <w:shd w:val="clear" w:color="auto" w:fill="FFFFFF"/>
        </w:rPr>
        <w:t>较年初预算数增加480.14万元，增长34.7%。主要原因是</w:t>
      </w:r>
      <w:r>
        <w:rPr>
          <w:rFonts w:hint="eastAsia" w:ascii="方正仿宋_GBK" w:hAnsi="方正仿宋_GBK" w:eastAsia="方正仿宋_GBK" w:cs="方正仿宋_GBK"/>
          <w:color w:val="auto"/>
          <w:sz w:val="32"/>
          <w:szCs w:val="32"/>
          <w:shd w:val="clear" w:color="auto" w:fill="FFFFFF"/>
          <w:lang w:val="en-US" w:eastAsia="zh-CN"/>
        </w:rPr>
        <w:t>增加了2024年乡村学校少年宫及运行补助资金-运转经费、2024年彩票公益金支持乡村学校少年宫项目。</w:t>
      </w:r>
      <w:r>
        <w:rPr>
          <w:rFonts w:ascii="方正仿宋_GBK" w:hAnsi="方正仿宋_GBK" w:eastAsia="方正仿宋_GBK" w:cs="方正仿宋_GBK"/>
          <w:color w:val="auto"/>
          <w:sz w:val="32"/>
          <w:szCs w:val="32"/>
          <w:shd w:val="clear" w:color="auto" w:fill="FFFFFF"/>
        </w:rPr>
        <w:t>此外，年初财政拨款结转和结余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Style w:val="8"/>
          <w:rFonts w:ascii="方正仿宋_GBK" w:hAnsi="方正仿宋_GBK" w:eastAsia="方正仿宋_GBK" w:cs="方正仿宋_GBK"/>
          <w:color w:val="auto"/>
          <w:sz w:val="32"/>
          <w:szCs w:val="32"/>
          <w:shd w:val="clear" w:color="auto" w:fill="FFFFFF"/>
        </w:rPr>
        <w:t>2.支出情况。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度一般公共预算财政拨款支出</w:t>
      </w:r>
      <w:r>
        <w:rPr>
          <w:rFonts w:ascii="方正仿宋_GBK" w:hAnsi="方正仿宋_GBK" w:eastAsia="方正仿宋_GBK" w:cs="方正仿宋_GBK"/>
          <w:color w:val="auto"/>
          <w:sz w:val="32"/>
          <w:szCs w:val="32"/>
        </w:rPr>
        <w:t>1864.44</w:t>
      </w:r>
      <w:r>
        <w:rPr>
          <w:rFonts w:ascii="方正仿宋_GBK" w:hAnsi="方正仿宋_GBK" w:eastAsia="方正仿宋_GBK" w:cs="方正仿宋_GBK"/>
          <w:color w:val="auto"/>
          <w:sz w:val="32"/>
          <w:szCs w:val="32"/>
          <w:shd w:val="clear" w:color="auto" w:fill="FFFFFF"/>
        </w:rPr>
        <w:t>万元，与2023年度相比，增加270.16万元，增长17.0%。主要原因是</w:t>
      </w:r>
      <w:r>
        <w:rPr>
          <w:rFonts w:hint="eastAsia" w:ascii="方正仿宋_GBK" w:hAnsi="方正仿宋_GBK" w:eastAsia="方正仿宋_GBK" w:cs="方正仿宋_GBK"/>
          <w:color w:val="auto"/>
          <w:sz w:val="32"/>
          <w:szCs w:val="32"/>
          <w:shd w:val="clear" w:color="auto" w:fill="FFFFFF"/>
          <w:lang w:val="en-US" w:eastAsia="zh-CN"/>
        </w:rPr>
        <w:t>本部门2024年对外宣传、全国文明城市建设公益广告、广告设计制作安装等项目增加。</w:t>
      </w:r>
      <w:r>
        <w:rPr>
          <w:rFonts w:ascii="方正仿宋_GBK" w:hAnsi="方正仿宋_GBK" w:eastAsia="方正仿宋_GBK" w:cs="方正仿宋_GBK"/>
          <w:color w:val="auto"/>
          <w:sz w:val="32"/>
          <w:szCs w:val="32"/>
          <w:shd w:val="clear" w:color="auto" w:fill="FFFFFF"/>
        </w:rPr>
        <w:t>较年初预算数增加480.14万元，增长34.7%。主要原因是</w:t>
      </w:r>
      <w:r>
        <w:rPr>
          <w:rFonts w:hint="eastAsia" w:ascii="方正仿宋_GBK" w:hAnsi="方正仿宋_GBK" w:eastAsia="方正仿宋_GBK" w:cs="方正仿宋_GBK"/>
          <w:color w:val="auto"/>
          <w:sz w:val="32"/>
          <w:szCs w:val="32"/>
          <w:shd w:val="clear" w:color="auto" w:fill="FFFFFF"/>
          <w:lang w:val="en-US" w:eastAsia="zh-CN"/>
        </w:rPr>
        <w:t>增加了2024年乡村学校少年宫及运行补助资金-运转经费、2024年彩票公益金支持乡村学校少年宫项目。</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rPr>
      </w:pPr>
      <w:r>
        <w:rPr>
          <w:rStyle w:val="8"/>
          <w:rFonts w:ascii="方正仿宋_GBK" w:hAnsi="方正仿宋_GBK" w:eastAsia="方正仿宋_GBK" w:cs="方正仿宋_GBK"/>
          <w:color w:val="auto"/>
          <w:sz w:val="32"/>
          <w:szCs w:val="32"/>
          <w:shd w:val="clear" w:color="auto" w:fill="FFFFFF"/>
        </w:rPr>
        <w:t>3.结转结余情况。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度年末一般公共预算财政拨款结转和结余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val="en-US" w:eastAsia="zh-CN"/>
        </w:rPr>
        <w:t>严格执行预算，无结余。</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ascii="方正仿宋_GBK" w:hAnsi="方正仿宋_GBK" w:eastAsia="方正仿宋_GBK" w:cs="方正仿宋_GBK"/>
          <w:color w:val="auto"/>
          <w:sz w:val="32"/>
          <w:szCs w:val="32"/>
          <w:shd w:val="clear" w:color="auto" w:fill="FFFFFF"/>
        </w:rPr>
      </w:pPr>
      <w:r>
        <w:rPr>
          <w:rStyle w:val="8"/>
          <w:rFonts w:ascii="方正仿宋_GBK" w:hAnsi="方正仿宋_GBK" w:eastAsia="方正仿宋_GBK" w:cs="方正仿宋_GBK"/>
          <w:color w:val="auto"/>
          <w:sz w:val="32"/>
          <w:szCs w:val="32"/>
          <w:shd w:val="clear" w:color="auto" w:fill="FFFFFF"/>
        </w:rPr>
        <w:t xml:space="preserve"> 4.比较情况。</w:t>
      </w:r>
      <w:r>
        <w:rPr>
          <w:rFonts w:ascii="方正仿宋_GBK" w:hAnsi="方正仿宋_GBK" w:eastAsia="方正仿宋_GBK" w:cs="方正仿宋_GBK"/>
          <w:color w:val="auto"/>
          <w:sz w:val="32"/>
          <w:szCs w:val="32"/>
          <w:shd w:val="clear" w:color="auto" w:fill="FFFFFF"/>
        </w:rPr>
        <w:t>本部门</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（1）一般公共服务支出</w:t>
      </w:r>
      <w:r>
        <w:rPr>
          <w:rFonts w:ascii="方正仿宋_GBK" w:hAnsi="方正仿宋_GBK" w:eastAsia="方正仿宋_GBK" w:cs="方正仿宋_GBK"/>
          <w:color w:val="auto"/>
          <w:sz w:val="32"/>
          <w:szCs w:val="32"/>
        </w:rPr>
        <w:t>1538.75</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82.53</w:t>
      </w:r>
      <w:r>
        <w:rPr>
          <w:rFonts w:ascii="方正仿宋_GBK" w:hAnsi="方正仿宋_GBK" w:eastAsia="方正仿宋_GBK" w:cs="方正仿宋_GBK"/>
          <w:color w:val="auto"/>
          <w:sz w:val="32"/>
          <w:szCs w:val="32"/>
          <w:shd w:val="clear" w:color="auto" w:fill="FFFFFF"/>
        </w:rPr>
        <w:t>%，较年初预算数增加352.26万元，增长29.7%，主要原因是</w:t>
      </w:r>
      <w:r>
        <w:rPr>
          <w:rFonts w:hint="eastAsia" w:ascii="方正仿宋_GBK" w:hAnsi="方正仿宋_GBK" w:eastAsia="方正仿宋_GBK" w:cs="方正仿宋_GBK"/>
          <w:color w:val="auto"/>
          <w:sz w:val="32"/>
          <w:szCs w:val="32"/>
          <w:shd w:val="clear" w:color="auto" w:fill="FFFFFF"/>
          <w:lang w:val="en-US" w:eastAsia="zh-CN"/>
        </w:rPr>
        <w:t>本部门2024年对外宣传、全国文明城市建设公益广告、广告设计制作安装等项目增加。</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）文化旅游体育与传媒支出</w:t>
      </w:r>
      <w:r>
        <w:rPr>
          <w:rFonts w:ascii="方正仿宋_GBK" w:hAnsi="方正仿宋_GBK" w:eastAsia="方正仿宋_GBK" w:cs="方正仿宋_GBK"/>
          <w:color w:val="auto"/>
          <w:sz w:val="32"/>
          <w:szCs w:val="32"/>
        </w:rPr>
        <w:t>110.37</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5.92</w:t>
      </w:r>
      <w:r>
        <w:rPr>
          <w:rFonts w:ascii="方正仿宋_GBK" w:hAnsi="方正仿宋_GBK" w:eastAsia="方正仿宋_GBK" w:cs="方正仿宋_GBK"/>
          <w:color w:val="auto"/>
          <w:sz w:val="32"/>
          <w:szCs w:val="32"/>
          <w:shd w:val="clear" w:color="auto" w:fill="FFFFFF"/>
        </w:rPr>
        <w:t>%，较年初预算数增加110.37万元，增长100.0%，主要原因是</w:t>
      </w:r>
      <w:r>
        <w:rPr>
          <w:rFonts w:hint="eastAsia" w:ascii="方正仿宋_GBK" w:hAnsi="方正仿宋_GBK" w:eastAsia="方正仿宋_GBK" w:cs="方正仿宋_GBK"/>
          <w:color w:val="auto"/>
          <w:sz w:val="32"/>
          <w:szCs w:val="32"/>
          <w:shd w:val="clear" w:color="auto" w:fill="FFFFFF"/>
          <w:lang w:val="en-US" w:eastAsia="zh-CN"/>
        </w:rPr>
        <w:t>增加</w:t>
      </w:r>
      <w:r>
        <w:rPr>
          <w:rFonts w:hint="eastAsia" w:ascii="方正仿宋_GBK" w:hAnsi="方正仿宋_GBK" w:eastAsia="方正仿宋_GBK" w:cs="方正仿宋_GBK"/>
          <w:color w:val="auto"/>
          <w:sz w:val="32"/>
          <w:szCs w:val="32"/>
          <w:shd w:val="clear" w:color="auto" w:fill="FFFFFF"/>
        </w:rPr>
        <w:t>2024年中央支持地方公共文化服务体系建设——惠民电影</w:t>
      </w:r>
      <w:r>
        <w:rPr>
          <w:rFonts w:hint="eastAsia" w:ascii="方正仿宋_GBK" w:hAnsi="方正仿宋_GBK" w:eastAsia="方正仿宋_GBK" w:cs="方正仿宋_GBK"/>
          <w:color w:val="auto"/>
          <w:sz w:val="32"/>
          <w:szCs w:val="32"/>
          <w:shd w:val="clear" w:color="auto" w:fill="FFFFFF"/>
          <w:lang w:val="en-US" w:eastAsia="zh-CN"/>
        </w:rPr>
        <w:t>等项目。</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highlight w:val="none"/>
          <w:shd w:val="clear" w:color="auto" w:fill="FFFFFF"/>
          <w:lang w:val="en-US"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）社会保障与就业支出</w:t>
      </w:r>
      <w:r>
        <w:rPr>
          <w:rFonts w:ascii="方正仿宋_GBK" w:hAnsi="方正仿宋_GBK" w:eastAsia="方正仿宋_GBK" w:cs="方正仿宋_GBK"/>
          <w:color w:val="auto"/>
          <w:sz w:val="32"/>
          <w:szCs w:val="32"/>
        </w:rPr>
        <w:t>125.88</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6.75</w:t>
      </w:r>
      <w:r>
        <w:rPr>
          <w:rFonts w:ascii="方正仿宋_GBK" w:hAnsi="方正仿宋_GBK" w:eastAsia="方正仿宋_GBK" w:cs="方正仿宋_GBK"/>
          <w:color w:val="auto"/>
          <w:sz w:val="32"/>
          <w:szCs w:val="32"/>
          <w:shd w:val="clear" w:color="auto" w:fill="FFFFFF"/>
        </w:rPr>
        <w:t>%，较年初预算数增加17.52万元，增长16.2%，主要原因是</w:t>
      </w:r>
      <w:r>
        <w:rPr>
          <w:rFonts w:hint="eastAsia" w:ascii="方正仿宋_GBK" w:hAnsi="方正仿宋_GBK" w:eastAsia="方正仿宋_GBK" w:cs="方正仿宋_GBK"/>
          <w:color w:val="auto"/>
          <w:sz w:val="32"/>
          <w:szCs w:val="32"/>
          <w:highlight w:val="none"/>
          <w:shd w:val="clear" w:color="auto" w:fill="FFFFFF"/>
          <w:lang w:val="en-US" w:eastAsia="zh-CN"/>
        </w:rPr>
        <w:t>增加新进职工冉鸿琳、商忆倩以及2024年职工增资调资。</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auto"/>
          <w:sz w:val="32"/>
          <w:szCs w:val="32"/>
          <w:highlight w:val="none"/>
          <w:shd w:val="clear" w:color="auto" w:fill="FFFFFF"/>
          <w:lang w:val="en-US"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）卫生健康支出</w:t>
      </w:r>
      <w:r>
        <w:rPr>
          <w:rFonts w:ascii="方正仿宋_GBK" w:hAnsi="方正仿宋_GBK" w:eastAsia="方正仿宋_GBK" w:cs="方正仿宋_GBK"/>
          <w:color w:val="auto"/>
          <w:sz w:val="32"/>
          <w:szCs w:val="32"/>
        </w:rPr>
        <w:t>39.19</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2.10</w:t>
      </w:r>
      <w:r>
        <w:rPr>
          <w:rFonts w:ascii="方正仿宋_GBK" w:hAnsi="方正仿宋_GBK" w:eastAsia="方正仿宋_GBK" w:cs="方正仿宋_GBK"/>
          <w:color w:val="auto"/>
          <w:sz w:val="32"/>
          <w:szCs w:val="32"/>
          <w:shd w:val="clear" w:color="auto" w:fill="FFFFFF"/>
        </w:rPr>
        <w:t>%，较年初预算数无增减，主要原因是</w:t>
      </w:r>
      <w:r>
        <w:rPr>
          <w:rFonts w:hint="eastAsia" w:ascii="方正仿宋_GBK" w:hAnsi="方正仿宋_GBK" w:eastAsia="方正仿宋_GBK" w:cs="方正仿宋_GBK"/>
          <w:color w:val="auto"/>
          <w:sz w:val="32"/>
          <w:szCs w:val="32"/>
          <w:highlight w:val="none"/>
          <w:shd w:val="clear" w:color="auto" w:fill="FFFFFF"/>
          <w:lang w:val="en-US" w:eastAsia="zh-CN"/>
        </w:rPr>
        <w:t>严格执行预算。</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5</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住房保障支出50.26</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2.70</w:t>
      </w:r>
      <w:r>
        <w:rPr>
          <w:rFonts w:ascii="方正仿宋_GBK" w:hAnsi="方正仿宋_GBK" w:eastAsia="方正仿宋_GBK" w:cs="方正仿宋_GBK"/>
          <w:color w:val="auto"/>
          <w:sz w:val="32"/>
          <w:szCs w:val="32"/>
          <w:shd w:val="clear" w:color="auto" w:fill="FFFFFF"/>
        </w:rPr>
        <w:t>%，较年初预算</w:t>
      </w:r>
      <w:r>
        <w:rPr>
          <w:rFonts w:ascii="方正仿宋_GBK" w:hAnsi="方正仿宋_GBK" w:eastAsia="方正仿宋_GBK" w:cs="方正仿宋_GBK"/>
          <w:color w:val="auto"/>
          <w:sz w:val="32"/>
          <w:szCs w:val="32"/>
          <w:highlight w:val="none"/>
          <w:shd w:val="clear" w:color="auto" w:fill="FFFFFF"/>
        </w:rPr>
        <w:t>数无增减，主要原因是</w:t>
      </w:r>
      <w:r>
        <w:rPr>
          <w:rFonts w:hint="eastAsia" w:ascii="方正仿宋_GBK" w:hAnsi="方正仿宋_GBK" w:eastAsia="方正仿宋_GBK" w:cs="方正仿宋_GBK"/>
          <w:color w:val="auto"/>
          <w:sz w:val="32"/>
          <w:szCs w:val="32"/>
          <w:highlight w:val="none"/>
          <w:shd w:val="clear" w:color="auto" w:fill="FFFFFF"/>
          <w:lang w:val="en-US" w:eastAsia="zh-CN"/>
        </w:rPr>
        <w:t>严格执行预算。</w:t>
      </w:r>
    </w:p>
    <w:p>
      <w:pPr>
        <w:pStyle w:val="9"/>
        <w:keepNext w:val="0"/>
        <w:keepLines w:val="0"/>
        <w:pageBreakBefore w:val="0"/>
        <w:widowControl/>
        <w:kinsoku/>
        <w:wordWrap/>
        <w:overflowPunct/>
        <w:topLinePunct w:val="0"/>
        <w:autoSpaceDE w:val="0"/>
        <w:autoSpaceDN/>
        <w:bidi w:val="0"/>
        <w:adjustRightInd/>
        <w:spacing w:beforeAutospacing="0" w:line="594" w:lineRule="exact"/>
        <w:ind w:left="0" w:leftChars="0" w:firstLine="643" w:firstLineChars="200"/>
        <w:textAlignment w:val="auto"/>
        <w:rPr>
          <w:rFonts w:hint="eastAsia" w:ascii="方正楷体_GBK" w:hAnsi="方正楷体_GBK" w:eastAsia="方正楷体_GBK" w:cs="方正楷体_GBK"/>
          <w:b/>
          <w:bCs/>
          <w:color w:val="auto"/>
          <w:sz w:val="32"/>
          <w:szCs w:val="32"/>
          <w:shd w:val="clear" w:color="auto" w:fill="FFFFFF"/>
        </w:rPr>
      </w:pPr>
      <w:r>
        <w:rPr>
          <w:rFonts w:hint="eastAsia" w:ascii="方正楷体_GBK" w:hAnsi="方正楷体_GBK" w:eastAsia="方正楷体_GBK" w:cs="方正楷体_GBK"/>
          <w:b/>
          <w:bCs/>
          <w:color w:val="auto"/>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度一般公共财政拨款基本支出</w:t>
      </w:r>
      <w:r>
        <w:rPr>
          <w:rFonts w:ascii="方正仿宋_GBK" w:hAnsi="方正仿宋_GBK" w:eastAsia="方正仿宋_GBK" w:cs="方正仿宋_GBK"/>
          <w:color w:val="auto"/>
          <w:sz w:val="32"/>
          <w:szCs w:val="32"/>
        </w:rPr>
        <w:t>831.17</w:t>
      </w:r>
      <w:r>
        <w:rPr>
          <w:rFonts w:ascii="方正仿宋_GBK" w:hAnsi="方正仿宋_GBK" w:eastAsia="方正仿宋_GBK" w:cs="方正仿宋_GBK"/>
          <w:color w:val="auto"/>
          <w:sz w:val="32"/>
          <w:szCs w:val="32"/>
          <w:shd w:val="clear" w:color="auto" w:fill="FFFFFF"/>
        </w:rPr>
        <w:t>万元。其中：人员经费</w:t>
      </w:r>
      <w:r>
        <w:rPr>
          <w:rFonts w:ascii="方正仿宋_GBK" w:hAnsi="方正仿宋_GBK" w:eastAsia="方正仿宋_GBK" w:cs="方正仿宋_GBK"/>
          <w:color w:val="auto"/>
          <w:sz w:val="32"/>
          <w:szCs w:val="32"/>
        </w:rPr>
        <w:t>745.87</w:t>
      </w:r>
      <w:r>
        <w:rPr>
          <w:rFonts w:ascii="方正仿宋_GBK" w:hAnsi="方正仿宋_GBK" w:eastAsia="方正仿宋_GBK" w:cs="方正仿宋_GBK"/>
          <w:color w:val="auto"/>
          <w:sz w:val="32"/>
          <w:szCs w:val="32"/>
          <w:shd w:val="clear" w:color="auto" w:fill="FFFFFF"/>
        </w:rPr>
        <w:t>万元，与2023年度相比，减少19.85万元，下降2.6%，主要原因是</w:t>
      </w:r>
      <w:r>
        <w:rPr>
          <w:rFonts w:hint="eastAsia" w:ascii="方正仿宋_GBK" w:hAnsi="方正仿宋_GBK" w:eastAsia="方正仿宋_GBK" w:cs="方正仿宋_GBK"/>
          <w:color w:val="auto"/>
          <w:sz w:val="32"/>
          <w:szCs w:val="32"/>
          <w:shd w:val="clear" w:color="auto" w:fill="FFFFFF"/>
          <w:lang w:val="en-US" w:eastAsia="zh-CN"/>
        </w:rPr>
        <w:t>减少人员贺玉清等其他津贴补贴，</w:t>
      </w:r>
      <w:r>
        <w:rPr>
          <w:rFonts w:ascii="方正仿宋_GBK" w:hAnsi="方正仿宋_GBK" w:eastAsia="方正仿宋_GBK" w:cs="方正仿宋_GBK"/>
          <w:color w:val="auto"/>
          <w:sz w:val="32"/>
          <w:szCs w:val="32"/>
          <w:shd w:val="clear" w:color="auto" w:fill="FFFFFF"/>
        </w:rPr>
        <w:t>人员经费用途主要包括包括</w:t>
      </w:r>
      <w:r>
        <w:rPr>
          <w:rFonts w:ascii="方正仿宋_GBK" w:hAnsi="方正仿宋_GBK" w:eastAsia="方正仿宋_GBK" w:cs="方正仿宋_GBK"/>
          <w:color w:val="auto"/>
          <w:sz w:val="32"/>
          <w:szCs w:val="32"/>
        </w:rPr>
        <w:t>基本工资、津贴补贴、奖金、绩效工资、机关事业部门基本养老保险费、职业年金缴费、职工基本医疗保险缴费、其他社会保障缴费、住房公积金、对个人和家庭的补助中的生活补助以及医疗费补助</w:t>
      </w:r>
      <w:r>
        <w:rPr>
          <w:rFonts w:hint="eastAsia" w:ascii="方正仿宋_GBK" w:hAnsi="方正仿宋_GBK" w:eastAsia="方正仿宋_GBK" w:cs="方正仿宋_GBK"/>
          <w:color w:val="auto"/>
          <w:sz w:val="32"/>
          <w:szCs w:val="32"/>
          <w:lang w:eastAsia="zh-CN"/>
        </w:rPr>
        <w:t>。</w:t>
      </w:r>
      <w:r>
        <w:rPr>
          <w:rFonts w:ascii="方正仿宋_GBK" w:hAnsi="方正仿宋_GBK" w:eastAsia="方正仿宋_GBK" w:cs="方正仿宋_GBK"/>
          <w:color w:val="auto"/>
          <w:sz w:val="32"/>
          <w:szCs w:val="32"/>
          <w:shd w:val="clear" w:color="auto" w:fill="FFFFFF"/>
        </w:rPr>
        <w:t>公用经费</w:t>
      </w:r>
      <w:r>
        <w:rPr>
          <w:rFonts w:ascii="方正仿宋_GBK" w:hAnsi="方正仿宋_GBK" w:eastAsia="方正仿宋_GBK" w:cs="方正仿宋_GBK"/>
          <w:color w:val="auto"/>
          <w:sz w:val="32"/>
          <w:szCs w:val="32"/>
        </w:rPr>
        <w:t>85.31</w:t>
      </w:r>
      <w:r>
        <w:rPr>
          <w:rFonts w:ascii="方正仿宋_GBK" w:hAnsi="方正仿宋_GBK" w:eastAsia="方正仿宋_GBK" w:cs="方正仿宋_GBK"/>
          <w:color w:val="auto"/>
          <w:sz w:val="32"/>
          <w:szCs w:val="32"/>
          <w:shd w:val="clear" w:color="auto" w:fill="FFFFFF"/>
        </w:rPr>
        <w:t>万元，与2023年度相比，减少10.85万元，下降11.3%，主要原因是</w:t>
      </w:r>
      <w:r>
        <w:rPr>
          <w:rFonts w:hint="eastAsia" w:ascii="方正仿宋_GBK" w:hAnsi="方正仿宋_GBK" w:eastAsia="方正仿宋_GBK" w:cs="方正仿宋_GBK"/>
          <w:color w:val="auto"/>
          <w:sz w:val="32"/>
          <w:szCs w:val="32"/>
          <w:shd w:val="clear" w:color="auto" w:fill="FFFFFF"/>
          <w:lang w:val="en-US" w:eastAsia="zh-CN"/>
        </w:rPr>
        <w:t>本年度会议费、培训费等减少。</w:t>
      </w:r>
      <w:r>
        <w:rPr>
          <w:rFonts w:ascii="方正仿宋_GBK" w:hAnsi="方正仿宋_GBK" w:eastAsia="方正仿宋_GBK" w:cs="方正仿宋_GBK"/>
          <w:color w:val="auto"/>
          <w:sz w:val="32"/>
          <w:szCs w:val="32"/>
          <w:shd w:val="clear" w:color="auto" w:fill="FFFFFF"/>
        </w:rPr>
        <w:t>公用经费用途主要包括</w:t>
      </w:r>
      <w:r>
        <w:rPr>
          <w:rFonts w:ascii="方正仿宋_GBK" w:hAnsi="方正仿宋_GBK" w:eastAsia="方正仿宋_GBK" w:cs="方正仿宋_GBK"/>
          <w:color w:val="auto"/>
          <w:sz w:val="32"/>
          <w:szCs w:val="32"/>
        </w:rPr>
        <w:t>办公费、印刷费、水费、电费、邮电费、物业管理费、差旅费、维修（护）费、会议费、培训费、公务接待费、劳务费、工会经费、福利费、公务用车运行维护费、其他交通费用、其他商品和服务支出。</w:t>
      </w:r>
    </w:p>
    <w:p>
      <w:pPr>
        <w:pStyle w:val="9"/>
        <w:keepNext w:val="0"/>
        <w:keepLines w:val="0"/>
        <w:pageBreakBefore w:val="0"/>
        <w:widowControl/>
        <w:kinsoku/>
        <w:wordWrap/>
        <w:overflowPunct/>
        <w:topLinePunct w:val="0"/>
        <w:autoSpaceDE w:val="0"/>
        <w:autoSpaceDN/>
        <w:bidi w:val="0"/>
        <w:adjustRightInd/>
        <w:spacing w:beforeAutospacing="0" w:line="594" w:lineRule="exact"/>
        <w:ind w:left="0" w:leftChars="0" w:firstLine="643" w:firstLineChars="200"/>
        <w:textAlignment w:val="auto"/>
        <w:rPr>
          <w:rFonts w:hint="eastAsia" w:ascii="方正楷体_GBK" w:hAnsi="方正楷体_GBK" w:eastAsia="方正楷体_GBK" w:cs="方正楷体_GBK"/>
          <w:b/>
          <w:bCs/>
          <w:color w:val="auto"/>
          <w:sz w:val="32"/>
          <w:szCs w:val="32"/>
          <w:shd w:val="clear" w:color="auto" w:fill="FFFFFF"/>
        </w:rPr>
      </w:pPr>
      <w:r>
        <w:rPr>
          <w:rFonts w:hint="eastAsia" w:ascii="方正楷体_GBK" w:hAnsi="方正楷体_GBK" w:eastAsia="方正楷体_GBK" w:cs="方正楷体_GBK"/>
          <w:b/>
          <w:bCs/>
          <w:color w:val="auto"/>
          <w:sz w:val="32"/>
          <w:szCs w:val="32"/>
          <w:shd w:val="clear" w:color="auto" w:fill="FFFFFF"/>
        </w:rPr>
        <w:t>（五）政府性基金预算收支决算情况说明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度政府性基金预算财政拨款年初结转结余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万元，年末结转结余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万元。本年收入</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万元，与2023年度相比，减少4.00万元，下降3.9%，主要原因是2024年彩票公益金支持乡村学校少年宫和2024年乡村学校少年宫及运行补助资金-运转经费项目比上年减少</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本年支出</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万元，与2023年度相比，减少4.00万元，下降3.9%，主要原因是2024年彩票公益金支持乡村学校少年宫和2024年乡村学校少年宫及运行补助资金-运转经费项目比上年减少</w:t>
      </w:r>
      <w:r>
        <w:rPr>
          <w:rFonts w:hint="eastAsia" w:ascii="方正仿宋_GBK" w:hAnsi="方正仿宋_GBK" w:eastAsia="方正仿宋_GBK" w:cs="方正仿宋_GBK"/>
          <w:color w:val="auto"/>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eastAsia" w:ascii="方正楷体_GBK" w:hAnsi="方正楷体_GBK" w:eastAsia="方正楷体_GBK" w:cs="方正楷体_GBK"/>
          <w:b/>
          <w:bCs/>
          <w:color w:val="auto"/>
          <w:sz w:val="32"/>
          <w:szCs w:val="32"/>
          <w:shd w:val="clear" w:color="auto" w:fill="FFFFFF"/>
        </w:rPr>
      </w:pPr>
      <w:r>
        <w:rPr>
          <w:rFonts w:hint="eastAsia" w:ascii="方正楷体_GBK" w:hAnsi="方正楷体_GBK" w:eastAsia="方正楷体_GBK" w:cs="方正楷体_GBK"/>
          <w:b/>
          <w:bCs/>
          <w:color w:val="auto"/>
          <w:sz w:val="32"/>
          <w:szCs w:val="32"/>
          <w:shd w:val="clear" w:color="auto" w:fill="FFFFFF"/>
        </w:rPr>
        <w:t>（六）国有资本经营预算财政拨款支出决算情况说明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本部门</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eastAsia" w:ascii="方正黑体_GBK" w:hAnsi="方正黑体_GBK" w:eastAsia="方正黑体_GBK" w:cs="方正黑体_GBK"/>
          <w:color w:val="auto"/>
          <w:sz w:val="32"/>
          <w:szCs w:val="32"/>
          <w:shd w:val="clear" w:color="auto" w:fill="FFFFFF"/>
        </w:rPr>
      </w:pPr>
      <w:r>
        <w:rPr>
          <w:rStyle w:val="8"/>
          <w:rFonts w:hint="eastAsia" w:ascii="方正黑体_GBK" w:hAnsi="方正黑体_GBK" w:eastAsia="方正黑体_GBK" w:cs="方正黑体_GBK"/>
          <w:color w:val="auto"/>
          <w:sz w:val="32"/>
          <w:szCs w:val="32"/>
          <w:shd w:val="clear" w:color="auto" w:fill="FFFFFF"/>
        </w:rPr>
        <w:t>三、</w:t>
      </w:r>
      <w:r>
        <w:rPr>
          <w:rStyle w:val="8"/>
          <w:rFonts w:hint="eastAsia" w:ascii="方正黑体_GBK" w:hAnsi="方正黑体_GBK" w:eastAsia="方正黑体_GBK" w:cs="方正黑体_GBK"/>
          <w:color w:val="auto"/>
          <w:sz w:val="32"/>
          <w:szCs w:val="32"/>
          <w:shd w:val="clear" w:color="auto" w:fill="FFFFFF"/>
          <w:lang w:eastAsia="zh-CN"/>
        </w:rPr>
        <w:t>财政拨款</w:t>
      </w:r>
      <w:r>
        <w:rPr>
          <w:rStyle w:val="8"/>
          <w:rFonts w:hint="eastAsia" w:ascii="方正黑体_GBK" w:hAnsi="方正黑体_GBK" w:eastAsia="方正黑体_GBK" w:cs="方正黑体_GBK"/>
          <w:color w:val="auto"/>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pacing w:beforeAutospacing="0" w:line="594" w:lineRule="exact"/>
        <w:ind w:left="0" w:leftChars="0" w:firstLine="643" w:firstLineChars="200"/>
        <w:textAlignment w:val="auto"/>
        <w:rPr>
          <w:rFonts w:hint="eastAsia" w:ascii="方正楷体_GBK" w:hAnsi="方正楷体_GBK" w:eastAsia="方正楷体_GBK" w:cs="方正楷体_GBK"/>
          <w:b/>
          <w:bCs/>
          <w:color w:val="auto"/>
          <w:sz w:val="32"/>
          <w:szCs w:val="32"/>
          <w:shd w:val="clear" w:color="auto" w:fill="FFFFFF"/>
        </w:rPr>
      </w:pPr>
      <w:r>
        <w:rPr>
          <w:rFonts w:hint="eastAsia" w:ascii="方正楷体_GBK" w:hAnsi="方正楷体_GBK" w:eastAsia="方正楷体_GBK" w:cs="方正楷体_GBK"/>
          <w:b/>
          <w:bCs/>
          <w:color w:val="auto"/>
          <w:sz w:val="32"/>
          <w:szCs w:val="32"/>
          <w:shd w:val="clear" w:color="auto" w:fill="FFFFFF"/>
        </w:rPr>
        <w:t>（一）“三公”经费支出总体情况说明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度“三公”经费支出共计</w:t>
      </w:r>
      <w:r>
        <w:rPr>
          <w:rFonts w:ascii="方正仿宋_GBK" w:hAnsi="方正仿宋_GBK" w:eastAsia="方正仿宋_GBK" w:cs="方正仿宋_GBK"/>
          <w:color w:val="auto"/>
          <w:sz w:val="32"/>
          <w:szCs w:val="32"/>
        </w:rPr>
        <w:t>10.70</w:t>
      </w:r>
      <w:r>
        <w:rPr>
          <w:rFonts w:ascii="方正仿宋_GBK" w:hAnsi="方正仿宋_GBK" w:eastAsia="方正仿宋_GBK" w:cs="方正仿宋_GBK"/>
          <w:color w:val="auto"/>
          <w:sz w:val="32"/>
          <w:szCs w:val="32"/>
          <w:shd w:val="clear" w:color="auto" w:fill="FFFFFF"/>
        </w:rPr>
        <w:t>万元，较年初预算数减少0.40万元，下降3.6%，主要原因是</w:t>
      </w:r>
      <w:r>
        <w:rPr>
          <w:rFonts w:hint="eastAsia" w:ascii="方正仿宋_GBK" w:hAnsi="方正仿宋_GBK" w:eastAsia="方正仿宋_GBK" w:cs="方正仿宋_GBK"/>
          <w:color w:val="auto"/>
          <w:sz w:val="32"/>
          <w:szCs w:val="32"/>
          <w:shd w:val="clear" w:color="auto" w:fill="FFFFFF"/>
          <w:lang w:val="en-US" w:eastAsia="zh-CN"/>
        </w:rPr>
        <w:t>根据财政要求，厉行节约。</w:t>
      </w:r>
      <w:r>
        <w:rPr>
          <w:rFonts w:ascii="方正仿宋_GBK" w:hAnsi="方正仿宋_GBK" w:eastAsia="方正仿宋_GBK" w:cs="方正仿宋_GBK"/>
          <w:color w:val="auto"/>
          <w:sz w:val="32"/>
          <w:szCs w:val="32"/>
          <w:shd w:val="clear" w:color="auto" w:fill="FFFFFF"/>
        </w:rPr>
        <w:t>较上年支出数增加5.21万元，增长94.9%，主要原因是本单位公务用车运行维护费用车辆维修维护</w:t>
      </w:r>
      <w:r>
        <w:rPr>
          <w:rFonts w:hint="eastAsia" w:ascii="方正仿宋_GBK" w:hAnsi="方正仿宋_GBK" w:eastAsia="方正仿宋_GBK" w:cs="方正仿宋_GBK"/>
          <w:color w:val="auto"/>
          <w:sz w:val="32"/>
          <w:szCs w:val="32"/>
          <w:shd w:val="clear" w:color="auto" w:fill="FFFFFF"/>
          <w:lang w:val="en-US" w:eastAsia="zh-CN"/>
        </w:rPr>
        <w:t>以及本年公务接待费增加。</w:t>
      </w:r>
    </w:p>
    <w:p>
      <w:pPr>
        <w:pStyle w:val="9"/>
        <w:keepNext w:val="0"/>
        <w:keepLines w:val="0"/>
        <w:pageBreakBefore w:val="0"/>
        <w:widowControl/>
        <w:kinsoku/>
        <w:wordWrap/>
        <w:overflowPunct/>
        <w:topLinePunct w:val="0"/>
        <w:autoSpaceDE w:val="0"/>
        <w:autoSpaceDN/>
        <w:bidi w:val="0"/>
        <w:adjustRightInd/>
        <w:spacing w:beforeAutospacing="0" w:line="594" w:lineRule="exact"/>
        <w:ind w:left="0" w:leftChars="0" w:firstLine="643" w:firstLineChars="200"/>
        <w:textAlignment w:val="auto"/>
        <w:rPr>
          <w:rFonts w:hint="eastAsia" w:ascii="方正楷体_GBK" w:hAnsi="方正楷体_GBK" w:eastAsia="方正楷体_GBK" w:cs="方正楷体_GBK"/>
          <w:b/>
          <w:bCs/>
          <w:color w:val="auto"/>
          <w:sz w:val="32"/>
          <w:szCs w:val="32"/>
          <w:shd w:val="clear" w:color="auto" w:fill="FFFFFF"/>
        </w:rPr>
      </w:pPr>
      <w:r>
        <w:rPr>
          <w:rFonts w:hint="eastAsia" w:ascii="方正楷体_GBK" w:hAnsi="方正楷体_GBK" w:eastAsia="方正楷体_GBK" w:cs="方正楷体_GBK"/>
          <w:b/>
          <w:bCs/>
          <w:color w:val="auto"/>
          <w:sz w:val="32"/>
          <w:szCs w:val="32"/>
          <w:shd w:val="clear" w:color="auto" w:fill="FFFFFF"/>
        </w:rPr>
        <w:t>（二）“三公”经费分项支出情况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rPr>
        <w:t>本部门2024年度未发生因公出国（境）支出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rPr>
        <w:t>本部门2024年度未发生公务车购置费。</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 公务车运行维护费</w:t>
      </w:r>
      <w:r>
        <w:rPr>
          <w:rFonts w:ascii="方正仿宋_GBK" w:hAnsi="方正仿宋_GBK" w:eastAsia="方正仿宋_GBK" w:cs="方正仿宋_GBK"/>
          <w:color w:val="auto"/>
          <w:sz w:val="32"/>
          <w:szCs w:val="32"/>
        </w:rPr>
        <w:t>3.50</w:t>
      </w:r>
      <w:r>
        <w:rPr>
          <w:rFonts w:ascii="方正仿宋_GBK" w:hAnsi="方正仿宋_GBK" w:eastAsia="方正仿宋_GBK" w:cs="方正仿宋_GBK"/>
          <w:color w:val="auto"/>
          <w:sz w:val="32"/>
          <w:szCs w:val="32"/>
          <w:shd w:val="clear" w:color="auto" w:fill="FFFFFF"/>
        </w:rPr>
        <w:t>万元，主要用于务车辆维修维护，车辆油费</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val="en-US" w:eastAsia="zh-CN"/>
        </w:rPr>
        <w:t>严格执行预算。</w:t>
      </w:r>
      <w:r>
        <w:rPr>
          <w:rFonts w:ascii="方正仿宋_GBK" w:hAnsi="方正仿宋_GBK" w:eastAsia="方正仿宋_GBK" w:cs="方正仿宋_GBK"/>
          <w:color w:val="auto"/>
          <w:sz w:val="32"/>
          <w:szCs w:val="32"/>
          <w:shd w:val="clear" w:color="auto" w:fill="FFFFFF"/>
        </w:rPr>
        <w:t>较上年支出数增加0.10万元，增长2.9%，主要原因是</w:t>
      </w:r>
      <w:r>
        <w:rPr>
          <w:rFonts w:hint="eastAsia" w:ascii="方正仿宋_GBK" w:hAnsi="方正仿宋_GBK" w:eastAsia="方正仿宋_GBK" w:cs="方正仿宋_GBK"/>
          <w:color w:val="auto"/>
          <w:sz w:val="32"/>
          <w:szCs w:val="32"/>
          <w:highlight w:val="none"/>
          <w:shd w:val="clear" w:color="auto" w:fill="FFFFFF"/>
          <w:lang w:val="en-US" w:eastAsia="zh-CN"/>
        </w:rPr>
        <w:t>车辆维修次数增加以及本年公务用车次数增加导致车辆用油次数也增加。</w:t>
      </w:r>
      <w:r>
        <w:rPr>
          <w:rFonts w:ascii="方正仿宋_GBK" w:hAnsi="方正仿宋_GBK" w:eastAsia="方正仿宋_GBK" w:cs="方正仿宋_GBK"/>
          <w:color w:val="auto"/>
          <w:sz w:val="32"/>
          <w:szCs w:val="32"/>
          <w:shd w:val="clear" w:color="auto" w:fill="FFFFFF"/>
        </w:rPr>
        <w:t> </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ascii="方正仿宋_GBK" w:hAnsi="方正仿宋_GBK" w:eastAsia="方正仿宋_GBK" w:cs="方正仿宋_GBK"/>
          <w:color w:val="auto"/>
          <w:sz w:val="32"/>
          <w:szCs w:val="32"/>
          <w:shd w:val="clear" w:color="auto" w:fill="FFFFFF"/>
        </w:rPr>
        <w:t>公务接待费</w:t>
      </w:r>
      <w:r>
        <w:rPr>
          <w:rFonts w:ascii="方正仿宋_GBK" w:hAnsi="方正仿宋_GBK" w:eastAsia="方正仿宋_GBK" w:cs="方正仿宋_GBK"/>
          <w:color w:val="auto"/>
          <w:sz w:val="32"/>
          <w:szCs w:val="32"/>
        </w:rPr>
        <w:t>7.20</w:t>
      </w:r>
      <w:r>
        <w:rPr>
          <w:rFonts w:ascii="方正仿宋_GBK" w:hAnsi="方正仿宋_GBK" w:eastAsia="方正仿宋_GBK" w:cs="方正仿宋_GBK"/>
          <w:color w:val="auto"/>
          <w:sz w:val="32"/>
          <w:szCs w:val="32"/>
          <w:shd w:val="clear" w:color="auto" w:fill="FFFFFF"/>
        </w:rPr>
        <w:t>万元，主要用于接待</w:t>
      </w:r>
      <w:r>
        <w:rPr>
          <w:rFonts w:ascii="方正仿宋_GBK" w:hAnsi="方正仿宋_GBK" w:eastAsia="方正仿宋_GBK" w:cs="方正仿宋_GBK"/>
          <w:color w:val="auto"/>
          <w:sz w:val="32"/>
          <w:szCs w:val="32"/>
        </w:rPr>
        <w:t>接待上级部门以及赴巫宣传巫溪文化的各新闻媒体等费用</w:t>
      </w:r>
      <w:r>
        <w:rPr>
          <w:rFonts w:hint="eastAsia" w:ascii="方正仿宋_GBK" w:hAnsi="方正仿宋_GBK" w:eastAsia="方正仿宋_GBK" w:cs="方正仿宋_GBK"/>
          <w:color w:val="auto"/>
          <w:sz w:val="32"/>
          <w:szCs w:val="32"/>
          <w:lang w:eastAsia="zh-CN"/>
        </w:rPr>
        <w:t>。</w:t>
      </w:r>
      <w:r>
        <w:rPr>
          <w:rFonts w:ascii="方正仿宋_GBK" w:hAnsi="方正仿宋_GBK" w:eastAsia="方正仿宋_GBK" w:cs="方正仿宋_GBK"/>
          <w:color w:val="auto"/>
          <w:sz w:val="32"/>
          <w:szCs w:val="32"/>
          <w:shd w:val="clear" w:color="auto" w:fill="FFFFFF"/>
        </w:rPr>
        <w:t>费用支出较年初预算数减少0.40万元，下降5.3%，主要原因是</w:t>
      </w:r>
      <w:r>
        <w:rPr>
          <w:rFonts w:hint="eastAsia" w:ascii="方正仿宋_GBK" w:hAnsi="方正仿宋_GBK" w:eastAsia="方正仿宋_GBK" w:cs="方正仿宋_GBK"/>
          <w:color w:val="auto"/>
          <w:sz w:val="32"/>
          <w:szCs w:val="32"/>
          <w:shd w:val="clear" w:color="auto" w:fill="FFFFFF"/>
          <w:lang w:val="en-US" w:eastAsia="zh-CN"/>
        </w:rPr>
        <w:t>根据财政要求，厉行节约。</w:t>
      </w:r>
      <w:r>
        <w:rPr>
          <w:rFonts w:ascii="方正仿宋_GBK" w:hAnsi="方正仿宋_GBK" w:eastAsia="方正仿宋_GBK" w:cs="方正仿宋_GBK"/>
          <w:color w:val="auto"/>
          <w:sz w:val="32"/>
          <w:szCs w:val="32"/>
          <w:shd w:val="clear" w:color="auto" w:fill="FFFFFF"/>
        </w:rPr>
        <w:t>较上年支出数增加5.11万元，增长244.5%，主要原因是</w:t>
      </w:r>
      <w:r>
        <w:rPr>
          <w:rFonts w:hint="eastAsia" w:ascii="方正仿宋_GBK" w:hAnsi="方正仿宋_GBK" w:eastAsia="方正仿宋_GBK" w:cs="方正仿宋_GBK"/>
          <w:color w:val="auto"/>
          <w:sz w:val="32"/>
          <w:szCs w:val="32"/>
          <w:shd w:val="clear" w:color="auto" w:fill="FFFFFF"/>
          <w:lang w:val="en-US" w:eastAsia="zh-CN"/>
        </w:rPr>
        <w:t>本年度接待宣传巫文化业务增加。</w:t>
      </w:r>
    </w:p>
    <w:p>
      <w:pPr>
        <w:pStyle w:val="9"/>
        <w:keepNext w:val="0"/>
        <w:keepLines w:val="0"/>
        <w:pageBreakBefore w:val="0"/>
        <w:widowControl/>
        <w:kinsoku/>
        <w:wordWrap/>
        <w:overflowPunct/>
        <w:topLinePunct w:val="0"/>
        <w:autoSpaceDE w:val="0"/>
        <w:autoSpaceDN/>
        <w:bidi w:val="0"/>
        <w:adjustRightInd/>
        <w:spacing w:beforeAutospacing="0" w:line="594" w:lineRule="exact"/>
        <w:ind w:left="0" w:leftChars="0" w:firstLine="643" w:firstLineChars="200"/>
        <w:textAlignment w:val="auto"/>
        <w:rPr>
          <w:rFonts w:hint="eastAsia" w:ascii="方正楷体_GBK" w:hAnsi="方正楷体_GBK" w:eastAsia="方正楷体_GBK" w:cs="方正楷体_GBK"/>
          <w:b/>
          <w:bCs/>
          <w:color w:val="auto"/>
          <w:sz w:val="32"/>
          <w:szCs w:val="32"/>
          <w:shd w:val="clear" w:color="auto" w:fill="FFFFFF"/>
        </w:rPr>
      </w:pPr>
      <w:r>
        <w:rPr>
          <w:rFonts w:hint="eastAsia" w:ascii="方正楷体_GBK" w:hAnsi="方正楷体_GBK" w:eastAsia="方正楷体_GBK" w:cs="方正楷体_GBK"/>
          <w:b/>
          <w:bCs/>
          <w:color w:val="auto"/>
          <w:sz w:val="32"/>
          <w:szCs w:val="32"/>
          <w:shd w:val="clear" w:color="auto" w:fill="FFFFFF"/>
        </w:rPr>
        <w:t>（三）“三公”经费实物量情况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度本部门因公出国（境）共计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个团组，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人；公务用车购置</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辆，公务车保有量为</w:t>
      </w:r>
      <w:r>
        <w:rPr>
          <w:rFonts w:ascii="方正仿宋_GBK" w:hAnsi="方正仿宋_GBK" w:eastAsia="方正仿宋_GBK" w:cs="方正仿宋_GBK"/>
          <w:color w:val="auto"/>
          <w:sz w:val="32"/>
          <w:szCs w:val="32"/>
        </w:rPr>
        <w:t>1</w:t>
      </w:r>
      <w:r>
        <w:rPr>
          <w:rFonts w:ascii="方正仿宋_GBK" w:hAnsi="方正仿宋_GBK" w:eastAsia="方正仿宋_GBK" w:cs="方正仿宋_GBK"/>
          <w:color w:val="auto"/>
          <w:sz w:val="32"/>
          <w:szCs w:val="32"/>
          <w:shd w:val="clear" w:color="auto" w:fill="FFFFFF"/>
        </w:rPr>
        <w:t>辆；国内公务接待</w:t>
      </w:r>
      <w:r>
        <w:rPr>
          <w:rFonts w:ascii="方正仿宋_GBK" w:hAnsi="方正仿宋_GBK" w:eastAsia="方正仿宋_GBK" w:cs="方正仿宋_GBK"/>
          <w:color w:val="auto"/>
          <w:sz w:val="32"/>
          <w:szCs w:val="32"/>
        </w:rPr>
        <w:t>180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1600</w:t>
      </w:r>
      <w:r>
        <w:rPr>
          <w:rFonts w:ascii="方正仿宋_GBK" w:hAnsi="方正仿宋_GBK" w:eastAsia="方正仿宋_GBK" w:cs="方正仿宋_GBK"/>
          <w:color w:val="auto"/>
          <w:sz w:val="32"/>
          <w:szCs w:val="32"/>
          <w:shd w:val="clear" w:color="auto" w:fill="FFFFFF"/>
        </w:rPr>
        <w:t>人，其中：国内外事接待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人；国（境）外公务接待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本部门人均接待费</w:t>
      </w:r>
      <w:r>
        <w:rPr>
          <w:rFonts w:ascii="方正仿宋_GBK" w:hAnsi="方正仿宋_GBK" w:eastAsia="方正仿宋_GBK" w:cs="方正仿宋_GBK"/>
          <w:color w:val="auto"/>
          <w:sz w:val="32"/>
          <w:szCs w:val="32"/>
        </w:rPr>
        <w:t>45.01</w:t>
      </w:r>
      <w:r>
        <w:rPr>
          <w:rFonts w:ascii="方正仿宋_GBK" w:hAnsi="方正仿宋_GBK" w:eastAsia="方正仿宋_GBK" w:cs="方正仿宋_GBK"/>
          <w:color w:val="auto"/>
          <w:sz w:val="32"/>
          <w:szCs w:val="32"/>
          <w:shd w:val="clear" w:color="auto" w:fill="FFFFFF"/>
        </w:rPr>
        <w:t>元，车均购置费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万元，车均维护费</w:t>
      </w:r>
      <w:r>
        <w:rPr>
          <w:rFonts w:ascii="方正仿宋_GBK" w:hAnsi="方正仿宋_GBK" w:eastAsia="方正仿宋_GBK" w:cs="方正仿宋_GBK"/>
          <w:color w:val="auto"/>
          <w:sz w:val="32"/>
          <w:szCs w:val="32"/>
        </w:rPr>
        <w:t>3.50</w:t>
      </w:r>
      <w:r>
        <w:rPr>
          <w:rFonts w:ascii="方正仿宋_GBK" w:hAnsi="方正仿宋_GBK" w:eastAsia="方正仿宋_GBK" w:cs="方正仿宋_GBK"/>
          <w:color w:val="auto"/>
          <w:sz w:val="32"/>
          <w:szCs w:val="32"/>
          <w:shd w:val="clear" w:color="auto" w:fill="FFFFFF"/>
        </w:rPr>
        <w:t>万元。</w:t>
      </w:r>
    </w:p>
    <w:p>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line="594" w:lineRule="exact"/>
        <w:ind w:firstLine="643" w:firstLineChars="200"/>
        <w:textAlignment w:val="auto"/>
        <w:rPr>
          <w:rFonts w:hint="eastAsia" w:ascii="方正楷体_GBK" w:hAnsi="方正楷体_GBK" w:eastAsia="方正楷体_GBK" w:cs="方正楷体_GBK"/>
          <w:b/>
          <w:bCs/>
          <w:color w:val="auto"/>
          <w:sz w:val="32"/>
          <w:szCs w:val="32"/>
          <w:shd w:val="clear" w:color="auto" w:fill="FFFFFF"/>
        </w:rPr>
      </w:pPr>
      <w:r>
        <w:rPr>
          <w:rStyle w:val="8"/>
          <w:rFonts w:hint="eastAsia" w:ascii="方正黑体_GBK" w:hAnsi="方正黑体_GBK" w:eastAsia="方正黑体_GBK" w:cs="方正黑体_GBK"/>
          <w:color w:val="auto"/>
          <w:sz w:val="32"/>
          <w:szCs w:val="32"/>
          <w:shd w:val="clear" w:color="auto" w:fill="FFFFFF"/>
        </w:rPr>
        <w:t>其他需要说明的事项</w:t>
      </w:r>
    </w:p>
    <w:p>
      <w:pPr>
        <w:pStyle w:val="5"/>
        <w:keepNext w:val="0"/>
        <w:keepLines w:val="0"/>
        <w:pageBreakBefore w:val="0"/>
        <w:widowControl/>
        <w:numPr>
          <w:numId w:val="0"/>
        </w:numPr>
        <w:shd w:val="clear" w:color="auto" w:fill="FFFFFF"/>
        <w:kinsoku/>
        <w:wordWrap/>
        <w:overflowPunct/>
        <w:topLinePunct w:val="0"/>
        <w:autoSpaceDE/>
        <w:autoSpaceDN/>
        <w:bidi w:val="0"/>
        <w:adjustRightInd/>
        <w:snapToGrid/>
        <w:spacing w:beforeAutospacing="0" w:line="594" w:lineRule="exact"/>
        <w:ind w:firstLine="643" w:firstLineChars="200"/>
        <w:textAlignment w:val="auto"/>
        <w:rPr>
          <w:rFonts w:hint="eastAsia" w:ascii="方正楷体_GBK" w:hAnsi="方正楷体_GBK" w:eastAsia="方正楷体_GBK" w:cs="方正楷体_GBK"/>
          <w:b/>
          <w:bCs/>
          <w:color w:val="auto"/>
          <w:sz w:val="32"/>
          <w:szCs w:val="32"/>
          <w:shd w:val="clear" w:color="auto" w:fill="FFFFFF"/>
        </w:rPr>
      </w:pPr>
      <w:r>
        <w:rPr>
          <w:rFonts w:hint="eastAsia" w:ascii="方正楷体_GBK" w:hAnsi="方正楷体_GBK" w:eastAsia="方正楷体_GBK" w:cs="方正楷体_GBK"/>
          <w:b/>
          <w:bCs/>
          <w:color w:val="auto"/>
          <w:sz w:val="32"/>
          <w:szCs w:val="32"/>
          <w:shd w:val="clear" w:color="auto" w:fill="FFFFFF"/>
        </w:rPr>
        <w:t>（一）财政拨款会议费和培训费情况说明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highlight w:val="none"/>
          <w:lang w:val="en-US" w:eastAsia="zh-CN"/>
        </w:rPr>
      </w:pPr>
      <w:r>
        <w:rPr>
          <w:rFonts w:ascii="方正仿宋_GBK" w:hAnsi="方正仿宋_GBK" w:eastAsia="方正仿宋_GBK" w:cs="方正仿宋_GBK"/>
          <w:color w:val="auto"/>
          <w:sz w:val="32"/>
          <w:szCs w:val="32"/>
          <w:shd w:val="clear" w:color="auto" w:fill="FFFFFF"/>
        </w:rPr>
        <w:t>本年度会议费支出</w:t>
      </w:r>
      <w:r>
        <w:rPr>
          <w:rFonts w:ascii="方正仿宋_GBK" w:hAnsi="方正仿宋_GBK" w:eastAsia="方正仿宋_GBK" w:cs="方正仿宋_GBK"/>
          <w:color w:val="auto"/>
          <w:sz w:val="32"/>
          <w:szCs w:val="32"/>
        </w:rPr>
        <w:t>2.01</w:t>
      </w:r>
      <w:r>
        <w:rPr>
          <w:rFonts w:ascii="方正仿宋_GBK" w:hAnsi="方正仿宋_GBK" w:eastAsia="方正仿宋_GBK" w:cs="方正仿宋_GBK"/>
          <w:color w:val="auto"/>
          <w:sz w:val="32"/>
          <w:szCs w:val="32"/>
          <w:shd w:val="clear" w:color="auto" w:fill="FFFFFF"/>
        </w:rPr>
        <w:t>万元，与2023年度相比，减少2.89万元，下降59.0%，主要原因是</w:t>
      </w:r>
      <w:r>
        <w:rPr>
          <w:rFonts w:ascii="方正仿宋_GBK" w:hAnsi="方正仿宋_GBK" w:eastAsia="方正仿宋_GBK" w:cs="方正仿宋_GBK"/>
          <w:color w:val="auto"/>
          <w:sz w:val="32"/>
          <w:szCs w:val="32"/>
        </w:rPr>
        <w:t>厉行节约，紧缩三公经费</w:t>
      </w:r>
      <w:r>
        <w:rPr>
          <w:rFonts w:ascii="方正仿宋_GBK" w:hAnsi="方正仿宋_GBK" w:eastAsia="方正仿宋_GBK" w:cs="方正仿宋_GBK"/>
          <w:color w:val="auto"/>
          <w:sz w:val="32"/>
          <w:szCs w:val="32"/>
          <w:shd w:val="clear" w:color="auto" w:fill="FFFFFF"/>
        </w:rPr>
        <w:t>。本年度培训费支出</w:t>
      </w:r>
      <w:r>
        <w:rPr>
          <w:rFonts w:ascii="方正仿宋_GBK" w:hAnsi="方正仿宋_GBK" w:eastAsia="方正仿宋_GBK" w:cs="方正仿宋_GBK"/>
          <w:color w:val="auto"/>
          <w:sz w:val="32"/>
          <w:szCs w:val="32"/>
        </w:rPr>
        <w:t>2.21</w:t>
      </w:r>
      <w:r>
        <w:rPr>
          <w:rFonts w:ascii="方正仿宋_GBK" w:hAnsi="方正仿宋_GBK" w:eastAsia="方正仿宋_GBK" w:cs="方正仿宋_GBK"/>
          <w:color w:val="auto"/>
          <w:sz w:val="32"/>
          <w:szCs w:val="32"/>
          <w:shd w:val="clear" w:color="auto" w:fill="FFFFFF"/>
        </w:rPr>
        <w:t>万元，与2023年度相比</w:t>
      </w:r>
      <w:r>
        <w:rPr>
          <w:rFonts w:ascii="方正仿宋_GBK" w:hAnsi="方正仿宋_GBK" w:eastAsia="方正仿宋_GBK" w:cs="方正仿宋_GBK"/>
          <w:color w:val="auto"/>
          <w:sz w:val="32"/>
          <w:szCs w:val="32"/>
          <w:highlight w:val="none"/>
          <w:shd w:val="clear" w:color="auto" w:fill="FFFFFF"/>
        </w:rPr>
        <w:t>，增加0.04万元，增长1.8%，主要原因是</w:t>
      </w:r>
      <w:r>
        <w:rPr>
          <w:rFonts w:hint="eastAsia" w:ascii="方正仿宋_GBK" w:hAnsi="方正仿宋_GBK" w:eastAsia="方正仿宋_GBK" w:cs="方正仿宋_GBK"/>
          <w:color w:val="auto"/>
          <w:sz w:val="32"/>
          <w:szCs w:val="32"/>
          <w:highlight w:val="none"/>
          <w:shd w:val="clear" w:color="auto" w:fill="FFFFFF"/>
          <w:lang w:val="en-US" w:eastAsia="zh-CN"/>
        </w:rPr>
        <w:t>本年度参加外地培训以及开展舆情技术监测培训增加。</w:t>
      </w:r>
    </w:p>
    <w:p>
      <w:pPr>
        <w:pStyle w:val="9"/>
        <w:keepNext w:val="0"/>
        <w:keepLines w:val="0"/>
        <w:pageBreakBefore w:val="0"/>
        <w:widowControl/>
        <w:kinsoku/>
        <w:wordWrap/>
        <w:overflowPunct/>
        <w:topLinePunct w:val="0"/>
        <w:autoSpaceDE w:val="0"/>
        <w:autoSpaceDN/>
        <w:bidi w:val="0"/>
        <w:adjustRightInd/>
        <w:spacing w:beforeAutospacing="0" w:line="594" w:lineRule="exact"/>
        <w:ind w:left="0" w:leftChars="0" w:firstLine="643" w:firstLineChars="200"/>
        <w:textAlignment w:val="auto"/>
        <w:rPr>
          <w:rFonts w:hint="eastAsia" w:ascii="方正楷体_GBK" w:hAnsi="方正楷体_GBK" w:eastAsia="方正楷体_GBK" w:cs="方正楷体_GBK"/>
          <w:b/>
          <w:bCs/>
          <w:color w:val="auto"/>
          <w:sz w:val="32"/>
          <w:szCs w:val="32"/>
          <w:shd w:val="clear" w:color="auto" w:fill="FFFFFF"/>
        </w:rPr>
      </w:pPr>
      <w:r>
        <w:rPr>
          <w:rFonts w:hint="eastAsia" w:ascii="方正楷体_GBK" w:hAnsi="方正楷体_GBK" w:eastAsia="方正楷体_GBK" w:cs="方正楷体_GBK"/>
          <w:b/>
          <w:bCs/>
          <w:color w:val="auto"/>
          <w:sz w:val="32"/>
          <w:szCs w:val="32"/>
          <w:shd w:val="clear" w:color="auto" w:fill="FFFFFF"/>
        </w:rPr>
        <w:t>（二）机关运行经费情况说明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度本部门机关运行经费支出</w:t>
      </w:r>
      <w:r>
        <w:rPr>
          <w:rFonts w:ascii="方正仿宋_GBK" w:hAnsi="方正仿宋_GBK" w:eastAsia="方正仿宋_GBK" w:cs="方正仿宋_GBK"/>
          <w:color w:val="auto"/>
          <w:sz w:val="32"/>
          <w:szCs w:val="32"/>
        </w:rPr>
        <w:t>57.38</w:t>
      </w:r>
      <w:r>
        <w:rPr>
          <w:rFonts w:ascii="方正仿宋_GBK" w:hAnsi="方正仿宋_GBK" w:eastAsia="方正仿宋_GBK" w:cs="方正仿宋_GBK"/>
          <w:color w:val="auto"/>
          <w:sz w:val="32"/>
          <w:szCs w:val="32"/>
          <w:shd w:val="clear" w:color="auto" w:fill="FFFFFF"/>
        </w:rPr>
        <w:t>万元，机关运行经费主要用于开支开支</w:t>
      </w:r>
      <w:r>
        <w:rPr>
          <w:rFonts w:ascii="方正仿宋_GBK" w:hAnsi="方正仿宋_GBK" w:eastAsia="方正仿宋_GBK" w:cs="方正仿宋_GBK"/>
          <w:color w:val="auto"/>
          <w:sz w:val="32"/>
          <w:szCs w:val="32"/>
        </w:rPr>
        <w:t>办公费、印刷费、水电费、邮电费、物业管理费、差旅费、维修（护）费、会议费、培训费、公务接待费、福利费等</w:t>
      </w:r>
      <w:r>
        <w:rPr>
          <w:rFonts w:hint="eastAsia" w:ascii="方正仿宋_GBK" w:hAnsi="方正仿宋_GBK" w:eastAsia="方正仿宋_GBK" w:cs="方正仿宋_GBK"/>
          <w:color w:val="auto"/>
          <w:sz w:val="32"/>
          <w:szCs w:val="32"/>
          <w:lang w:eastAsia="zh-CN"/>
        </w:rPr>
        <w:t>。</w:t>
      </w:r>
      <w:r>
        <w:rPr>
          <w:rFonts w:ascii="方正仿宋_GBK" w:hAnsi="方正仿宋_GBK" w:eastAsia="方正仿宋_GBK" w:cs="方正仿宋_GBK"/>
          <w:color w:val="auto"/>
          <w:sz w:val="32"/>
          <w:szCs w:val="32"/>
          <w:shd w:val="clear" w:color="auto" w:fill="FFFFFF"/>
        </w:rPr>
        <w:t>机关运行经费较上年支出数减少38.78万元，下降40.3%，主要原因是</w:t>
      </w:r>
      <w:r>
        <w:rPr>
          <w:rFonts w:ascii="方正仿宋_GBK" w:hAnsi="方正仿宋_GBK" w:eastAsia="方正仿宋_GBK" w:cs="方正仿宋_GBK"/>
          <w:color w:val="auto"/>
          <w:sz w:val="32"/>
          <w:szCs w:val="32"/>
        </w:rPr>
        <w:t>少开展了培训费、会议费等，又因厉行节约，紧缩费用，所以比上年费用减少</w:t>
      </w:r>
    </w:p>
    <w:p>
      <w:pPr>
        <w:pStyle w:val="9"/>
        <w:keepNext w:val="0"/>
        <w:keepLines w:val="0"/>
        <w:pageBreakBefore w:val="0"/>
        <w:widowControl/>
        <w:kinsoku/>
        <w:wordWrap/>
        <w:overflowPunct/>
        <w:topLinePunct w:val="0"/>
        <w:autoSpaceDE w:val="0"/>
        <w:autoSpaceDN/>
        <w:bidi w:val="0"/>
        <w:adjustRightInd/>
        <w:spacing w:beforeAutospacing="0" w:line="594" w:lineRule="exact"/>
        <w:ind w:left="0" w:leftChars="0" w:firstLine="643" w:firstLineChars="200"/>
        <w:textAlignment w:val="auto"/>
        <w:rPr>
          <w:rFonts w:hint="eastAsia" w:ascii="方正楷体_GBK" w:hAnsi="方正楷体_GBK" w:eastAsia="方正楷体_GBK" w:cs="方正楷体_GBK"/>
          <w:b/>
          <w:bCs/>
          <w:color w:val="auto"/>
          <w:sz w:val="32"/>
          <w:szCs w:val="32"/>
          <w:shd w:val="clear" w:color="auto" w:fill="FFFFFF"/>
        </w:rPr>
      </w:pPr>
      <w:r>
        <w:rPr>
          <w:rFonts w:hint="eastAsia" w:ascii="方正楷体_GBK" w:hAnsi="方正楷体_GBK" w:eastAsia="方正楷体_GBK" w:cs="方正楷体_GBK"/>
          <w:b/>
          <w:bCs/>
          <w:color w:val="auto"/>
          <w:sz w:val="32"/>
          <w:szCs w:val="32"/>
          <w:shd w:val="clear" w:color="auto" w:fill="FFFFFF"/>
        </w:rPr>
        <w:t>（三）国有资产占用情况说明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截至</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12月31日，本部门共有车辆</w:t>
      </w:r>
      <w:r>
        <w:rPr>
          <w:rFonts w:ascii="方正仿宋_GBK" w:hAnsi="方正仿宋_GBK" w:eastAsia="方正仿宋_GBK" w:cs="方正仿宋_GBK"/>
          <w:color w:val="auto"/>
          <w:sz w:val="32"/>
          <w:szCs w:val="32"/>
        </w:rPr>
        <w:t>1</w:t>
      </w:r>
      <w:r>
        <w:rPr>
          <w:rFonts w:ascii="方正仿宋_GBK" w:hAnsi="方正仿宋_GBK" w:eastAsia="方正仿宋_GBK" w:cs="方正仿宋_GBK"/>
          <w:color w:val="auto"/>
          <w:sz w:val="32"/>
          <w:szCs w:val="32"/>
          <w:shd w:val="clear" w:color="auto" w:fill="FFFFFF"/>
        </w:rPr>
        <w:t>辆，其中，副部（省）级及以上领导用车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辆、主要负责人用车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辆、机要通信用车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辆、应急保障用车</w:t>
      </w:r>
      <w:r>
        <w:rPr>
          <w:rFonts w:ascii="方正仿宋_GBK" w:hAnsi="方正仿宋_GBK" w:eastAsia="方正仿宋_GBK" w:cs="方正仿宋_GBK"/>
          <w:color w:val="auto"/>
          <w:sz w:val="32"/>
          <w:szCs w:val="32"/>
        </w:rPr>
        <w:t>1</w:t>
      </w:r>
      <w:r>
        <w:rPr>
          <w:rFonts w:ascii="方正仿宋_GBK" w:hAnsi="方正仿宋_GBK" w:eastAsia="方正仿宋_GBK" w:cs="方正仿宋_GBK"/>
          <w:color w:val="auto"/>
          <w:sz w:val="32"/>
          <w:szCs w:val="32"/>
          <w:shd w:val="clear" w:color="auto" w:fill="FFFFFF"/>
        </w:rPr>
        <w:t>辆、执法执勤用车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辆，特种专业技术用车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辆，离退休干部用车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辆。单价100万元（含）以上专用设备</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pacing w:beforeAutospacing="0" w:line="594" w:lineRule="exact"/>
        <w:ind w:left="0" w:leftChars="0" w:firstLine="643" w:firstLineChars="200"/>
        <w:textAlignment w:val="auto"/>
        <w:rPr>
          <w:rFonts w:hint="eastAsia" w:ascii="方正楷体_GBK" w:hAnsi="方正楷体_GBK" w:eastAsia="方正楷体_GBK" w:cs="方正楷体_GBK"/>
          <w:b/>
          <w:bCs/>
          <w:color w:val="auto"/>
          <w:sz w:val="32"/>
          <w:szCs w:val="32"/>
          <w:shd w:val="clear" w:color="auto" w:fill="FFFFFF"/>
        </w:rPr>
      </w:pPr>
      <w:r>
        <w:rPr>
          <w:rFonts w:hint="eastAsia" w:ascii="方正楷体_GBK" w:hAnsi="方正楷体_GBK" w:eastAsia="方正楷体_GBK" w:cs="方正楷体_GBK"/>
          <w:b/>
          <w:bCs/>
          <w:color w:val="auto"/>
          <w:sz w:val="32"/>
          <w:szCs w:val="32"/>
          <w:shd w:val="clear" w:color="auto" w:fill="FFFFFF"/>
        </w:rPr>
        <w:t>（四）政府采购支出情况说明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度本部门政府采购支出总额</w:t>
      </w:r>
      <w:r>
        <w:rPr>
          <w:rFonts w:ascii="方正仿宋_GBK" w:hAnsi="方正仿宋_GBK" w:eastAsia="方正仿宋_GBK" w:cs="方正仿宋_GBK"/>
          <w:color w:val="auto"/>
          <w:sz w:val="32"/>
          <w:szCs w:val="32"/>
        </w:rPr>
        <w:t>50.51</w:t>
      </w:r>
      <w:r>
        <w:rPr>
          <w:rFonts w:ascii="方正仿宋_GBK" w:hAnsi="方正仿宋_GBK" w:eastAsia="方正仿宋_GBK" w:cs="方正仿宋_GBK"/>
          <w:color w:val="auto"/>
          <w:sz w:val="32"/>
          <w:szCs w:val="32"/>
          <w:shd w:val="clear" w:color="auto" w:fill="FFFFFF"/>
        </w:rPr>
        <w:t>万元，其中：政府采购货物支出</w:t>
      </w:r>
      <w:r>
        <w:rPr>
          <w:rFonts w:ascii="方正仿宋_GBK" w:hAnsi="方正仿宋_GBK" w:eastAsia="方正仿宋_GBK" w:cs="方正仿宋_GBK"/>
          <w:color w:val="auto"/>
          <w:sz w:val="32"/>
          <w:szCs w:val="32"/>
        </w:rPr>
        <w:t>50.51</w:t>
      </w:r>
      <w:r>
        <w:rPr>
          <w:rFonts w:ascii="方正仿宋_GBK" w:hAnsi="方正仿宋_GBK" w:eastAsia="方正仿宋_GBK" w:cs="方正仿宋_GBK"/>
          <w:color w:val="auto"/>
          <w:sz w:val="32"/>
          <w:szCs w:val="32"/>
          <w:shd w:val="clear" w:color="auto" w:fill="FFFFFF"/>
        </w:rPr>
        <w:t>万元、政府采购工程支出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万元、政府采购服务支出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万元。授予中小企业合同金额</w:t>
      </w:r>
      <w:r>
        <w:rPr>
          <w:rFonts w:ascii="方正仿宋_GBK" w:hAnsi="方正仿宋_GBK" w:eastAsia="方正仿宋_GBK" w:cs="方正仿宋_GBK"/>
          <w:color w:val="auto"/>
          <w:sz w:val="32"/>
          <w:szCs w:val="32"/>
        </w:rPr>
        <w:t>50.51万</w:t>
      </w:r>
      <w:r>
        <w:rPr>
          <w:rFonts w:ascii="方正仿宋_GBK" w:hAnsi="方正仿宋_GBK" w:eastAsia="方正仿宋_GBK" w:cs="方正仿宋_GBK"/>
          <w:color w:val="auto"/>
          <w:sz w:val="32"/>
          <w:szCs w:val="32"/>
          <w:shd w:val="clear" w:color="auto" w:fill="FFFFFF"/>
        </w:rPr>
        <w:t>元，占政府采购支出总额的</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%，其中：授予小微企业合同金额</w:t>
      </w:r>
      <w:r>
        <w:rPr>
          <w:rFonts w:ascii="方正仿宋_GBK" w:hAnsi="方正仿宋_GBK" w:eastAsia="方正仿宋_GBK" w:cs="方正仿宋_GBK"/>
          <w:color w:val="auto"/>
          <w:sz w:val="32"/>
          <w:szCs w:val="32"/>
        </w:rPr>
        <w:t>50.51</w:t>
      </w:r>
      <w:r>
        <w:rPr>
          <w:rFonts w:ascii="方正仿宋_GBK" w:hAnsi="方正仿宋_GBK" w:eastAsia="方正仿宋_GBK" w:cs="方正仿宋_GBK"/>
          <w:color w:val="auto"/>
          <w:sz w:val="32"/>
          <w:szCs w:val="32"/>
          <w:shd w:val="clear" w:color="auto" w:fill="FFFFFF"/>
        </w:rPr>
        <w:t>万元，占政府采购支出总额的</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 xml:space="preserve"> %。主要用于采购</w:t>
      </w:r>
      <w:r>
        <w:rPr>
          <w:rFonts w:ascii="方正仿宋_GBK" w:hAnsi="方正仿宋_GBK" w:eastAsia="方正仿宋_GBK" w:cs="方正仿宋_GBK"/>
          <w:color w:val="auto"/>
          <w:sz w:val="32"/>
          <w:szCs w:val="32"/>
        </w:rPr>
        <w:t>部门日常货物用品。</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eastAsia" w:ascii="方正楷体_GBK" w:hAnsi="方正楷体_GBK" w:eastAsia="方正楷体_GBK" w:cs="方正楷体_GBK"/>
          <w:color w:val="auto"/>
          <w:sz w:val="32"/>
          <w:szCs w:val="32"/>
          <w:shd w:val="clear" w:color="auto" w:fill="FFFFFF"/>
          <w:lang w:val="en-US" w:eastAsia="zh-CN" w:bidi="ar-SA"/>
        </w:rPr>
      </w:pPr>
      <w:r>
        <w:rPr>
          <w:rStyle w:val="8"/>
          <w:rFonts w:hint="eastAsia" w:ascii="方正楷体_GBK" w:hAnsi="方正楷体_GBK" w:eastAsia="方正楷体_GBK" w:cs="方正楷体_GBK"/>
          <w:color w:val="auto"/>
          <w:sz w:val="32"/>
          <w:szCs w:val="32"/>
          <w:shd w:val="clear" w:color="auto" w:fill="FFFFFF"/>
          <w:lang w:val="en-US" w:eastAsia="zh-CN" w:bidi="ar-SA"/>
        </w:rPr>
        <w:t>五、2024年度预算绩效管理情况说明</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left"/>
        <w:textAlignment w:val="auto"/>
        <w:rPr>
          <w:rFonts w:hint="eastAsia" w:ascii="方正楷体_GBK" w:hAnsi="方正楷体_GBK" w:eastAsia="方正楷体_GBK" w:cs="方正楷体_GBK"/>
          <w:b/>
          <w:bCs/>
          <w:color w:val="auto"/>
          <w:kern w:val="0"/>
          <w:sz w:val="32"/>
          <w:szCs w:val="32"/>
          <w:shd w:val="clear" w:fill="FFFFFF"/>
        </w:rPr>
      </w:pPr>
      <w:r>
        <w:rPr>
          <w:rFonts w:hint="eastAsia" w:ascii="方正楷体_GBK" w:hAnsi="方正楷体_GBK" w:eastAsia="方正楷体_GBK" w:cs="方正楷体_GBK"/>
          <w:b/>
          <w:bCs/>
          <w:color w:val="auto"/>
          <w:kern w:val="0"/>
          <w:sz w:val="32"/>
          <w:szCs w:val="32"/>
          <w:shd w:val="clear" w:fill="FFFFFF"/>
        </w:rPr>
        <w:t>（一）单位自评情况</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rPr>
        <w:t>根据预算绩效管理要求，我</w:t>
      </w:r>
      <w:r>
        <w:rPr>
          <w:rFonts w:hint="eastAsia" w:ascii="方正仿宋_GBK" w:hAnsi="方正仿宋_GBK" w:eastAsia="方正仿宋_GBK" w:cs="方正仿宋_GBK"/>
          <w:sz w:val="32"/>
          <w:szCs w:val="32"/>
          <w:shd w:val="clear" w:color="auto" w:fill="FFFFFF"/>
          <w:lang w:val="en-US" w:eastAsia="zh-CN"/>
        </w:rPr>
        <w:t>部门</w:t>
      </w:r>
      <w:r>
        <w:rPr>
          <w:rFonts w:hint="eastAsia" w:ascii="方正仿宋_GBK" w:hAnsi="方正仿宋_GBK" w:eastAsia="方正仿宋_GBK" w:cs="方正仿宋_GBK"/>
          <w:sz w:val="32"/>
          <w:szCs w:val="32"/>
          <w:shd w:val="clear" w:color="auto" w:fill="FFFFFF"/>
        </w:rPr>
        <w:t>对1个部门整体和20个二级项目开展了绩效自评，涉及财政拨款项目支出资金1033.27万元</w:t>
      </w:r>
      <w:r>
        <w:rPr>
          <w:rFonts w:hint="eastAsia" w:ascii="方正仿宋_GBK" w:hAnsi="方正仿宋_GBK" w:eastAsia="方正仿宋_GBK" w:cs="方正仿宋_GBK"/>
          <w:sz w:val="32"/>
          <w:szCs w:val="32"/>
          <w:shd w:val="clear" w:color="auto" w:fill="FFFFFF"/>
          <w:lang w:eastAsia="zh-CN"/>
        </w:rPr>
        <w:t>。</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sz w:val="32"/>
          <w:szCs w:val="32"/>
          <w:shd w:val="clear" w:color="auto" w:fill="FFFFFF"/>
        </w:rPr>
      </w:pP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sz w:val="32"/>
          <w:szCs w:val="32"/>
          <w:shd w:val="clear" w:color="auto" w:fill="FFFFFF"/>
        </w:rPr>
      </w:pP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sz w:val="32"/>
          <w:szCs w:val="32"/>
          <w:shd w:val="clear" w:color="auto" w:fill="FFFFFF"/>
        </w:rPr>
      </w:pP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sz w:val="32"/>
          <w:szCs w:val="32"/>
          <w:shd w:val="clear" w:color="auto" w:fill="FFFFFF"/>
        </w:rPr>
      </w:pP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sz w:val="32"/>
          <w:szCs w:val="32"/>
          <w:shd w:val="clear" w:color="auto" w:fill="FFFFFF"/>
        </w:rPr>
      </w:pP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sz w:val="32"/>
          <w:szCs w:val="32"/>
          <w:shd w:val="clear" w:color="auto" w:fill="FFFFFF"/>
        </w:rPr>
      </w:pPr>
      <w:bookmarkStart w:id="0" w:name="_GoBack"/>
      <w:bookmarkEnd w:id="0"/>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lang w:val="en-US" w:eastAsia="zh-CN"/>
        </w:rPr>
        <w:t>1.</w:t>
      </w: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tbl>
      <w:tblPr>
        <w:tblStyle w:val="6"/>
        <w:tblW w:w="8760" w:type="dxa"/>
        <w:tblInd w:w="93" w:type="dxa"/>
        <w:tblLayout w:type="autofit"/>
        <w:tblCellMar>
          <w:top w:w="0" w:type="dxa"/>
          <w:left w:w="108" w:type="dxa"/>
          <w:bottom w:w="0" w:type="dxa"/>
          <w:right w:w="108" w:type="dxa"/>
        </w:tblCellMar>
      </w:tblPr>
      <w:tblGrid>
        <w:gridCol w:w="636"/>
        <w:gridCol w:w="397"/>
        <w:gridCol w:w="636"/>
        <w:gridCol w:w="996"/>
        <w:gridCol w:w="847"/>
        <w:gridCol w:w="1229"/>
        <w:gridCol w:w="726"/>
        <w:gridCol w:w="996"/>
        <w:gridCol w:w="636"/>
        <w:gridCol w:w="636"/>
        <w:gridCol w:w="1206"/>
      </w:tblGrid>
      <w:tr>
        <w:tblPrEx>
          <w:tblCellMar>
            <w:top w:w="0" w:type="dxa"/>
            <w:left w:w="108" w:type="dxa"/>
            <w:bottom w:w="0" w:type="dxa"/>
            <w:right w:w="108" w:type="dxa"/>
          </w:tblCellMar>
        </w:tblPrEx>
        <w:trPr>
          <w:trHeight w:val="420" w:hRule="atLeast"/>
        </w:trPr>
        <w:tc>
          <w:tcPr>
            <w:tcW w:w="87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color w:val="000000"/>
                <w:sz w:val="18"/>
                <w:szCs w:val="18"/>
              </w:rPr>
            </w:pPr>
            <w:r>
              <w:rPr>
                <w:rFonts w:ascii="微软雅黑" w:hAnsi="微软雅黑" w:eastAsia="微软雅黑" w:cs="微软雅黑"/>
                <w:b/>
                <w:bCs/>
                <w:color w:val="000000"/>
                <w:sz w:val="18"/>
                <w:szCs w:val="18"/>
              </w:rPr>
              <w:t>2024年度部门整体绩效自评表</w:t>
            </w:r>
          </w:p>
        </w:tc>
      </w:tr>
      <w:tr>
        <w:tblPrEx>
          <w:tblCellMar>
            <w:top w:w="0" w:type="dxa"/>
            <w:left w:w="108" w:type="dxa"/>
            <w:bottom w:w="0" w:type="dxa"/>
            <w:right w:w="108" w:type="dxa"/>
          </w:tblCellMar>
        </w:tblPrEx>
        <w:trPr>
          <w:trHeight w:val="500" w:hRule="atLeast"/>
        </w:trPr>
        <w:tc>
          <w:tcPr>
            <w:tcW w:w="87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1" w:firstLineChars="100"/>
              <w:jc w:val="right"/>
              <w:textAlignment w:val="center"/>
              <w:rPr>
                <w:rFonts w:hint="default" w:cs="宋体"/>
                <w:b/>
                <w:bCs/>
                <w:color w:val="DA3232"/>
                <w:sz w:val="18"/>
                <w:szCs w:val="18"/>
              </w:rPr>
            </w:pPr>
            <w:r>
              <w:rPr>
                <w:rFonts w:cs="宋体"/>
                <w:b/>
                <w:bCs/>
                <w:color w:val="DA3232"/>
                <w:sz w:val="18"/>
                <w:szCs w:val="18"/>
              </w:rPr>
              <w:t>状态：已送审</w:t>
            </w:r>
          </w:p>
        </w:tc>
      </w:tr>
      <w:tr>
        <w:tblPrEx>
          <w:tblCellMar>
            <w:top w:w="0" w:type="dxa"/>
            <w:left w:w="108" w:type="dxa"/>
            <w:bottom w:w="0" w:type="dxa"/>
            <w:right w:w="108" w:type="dxa"/>
          </w:tblCellMar>
        </w:tblPrEx>
        <w:trPr>
          <w:trHeight w:val="17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18"/>
                <w:szCs w:val="18"/>
              </w:rPr>
            </w:pPr>
            <w:r>
              <w:rPr>
                <w:rFonts w:cs="宋体"/>
                <w:b/>
                <w:bCs/>
                <w:color w:val="000000"/>
                <w:sz w:val="18"/>
                <w:szCs w:val="18"/>
              </w:rPr>
              <w:t>项目名称：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rPr>
              <w:t>中国共产党巫溪县委员会宣传部整体监控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18"/>
                <w:szCs w:val="18"/>
              </w:rPr>
            </w:pPr>
            <w:r>
              <w:rPr>
                <w:rFonts w:cs="宋体"/>
                <w:b/>
                <w:bCs/>
                <w:color w:val="000000"/>
                <w:sz w:val="18"/>
                <w:szCs w:val="18"/>
              </w:rPr>
              <w:t>项目编码：</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rPr>
              <w:t>50023800024P000007</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18"/>
                <w:szCs w:val="18"/>
              </w:rPr>
            </w:pPr>
            <w:r>
              <w:rPr>
                <w:rFonts w:cs="宋体"/>
                <w:b/>
                <w:bCs/>
                <w:color w:val="000000"/>
                <w:sz w:val="18"/>
                <w:szCs w:val="18"/>
              </w:rPr>
              <w:t>自评总分：</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rPr>
              <w:t>99.05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b/>
                <w:bCs/>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18"/>
                <w:szCs w:val="18"/>
              </w:rPr>
            </w:pPr>
          </w:p>
        </w:tc>
      </w:tr>
      <w:tr>
        <w:tblPrEx>
          <w:tblCellMar>
            <w:top w:w="0" w:type="dxa"/>
            <w:left w:w="108" w:type="dxa"/>
            <w:bottom w:w="0" w:type="dxa"/>
            <w:right w:w="108" w:type="dxa"/>
          </w:tblCellMar>
        </w:tblPrEx>
        <w:trPr>
          <w:trHeight w:val="14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18"/>
                <w:szCs w:val="18"/>
              </w:rPr>
            </w:pPr>
            <w:r>
              <w:rPr>
                <w:rFonts w:cs="宋体"/>
                <w:b/>
                <w:bCs/>
                <w:color w:val="000000"/>
                <w:sz w:val="18"/>
                <w:szCs w:val="18"/>
              </w:rPr>
              <w:t>项目主管部门：</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rPr>
              <w:t>007-中国共产党巫溪县委员会宣传部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18"/>
                <w:szCs w:val="18"/>
              </w:rPr>
            </w:pPr>
            <w:r>
              <w:rPr>
                <w:rFonts w:cs="宋体"/>
                <w:b/>
                <w:bCs/>
                <w:color w:val="000000"/>
                <w:sz w:val="18"/>
                <w:szCs w:val="18"/>
              </w:rPr>
              <w:t>财政归口处室：</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rPr>
              <w:t>005-行财科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18"/>
                <w:szCs w:val="18"/>
              </w:rPr>
            </w:pPr>
            <w:r>
              <w:rPr>
                <w:rFonts w:cs="宋体"/>
                <w:b/>
                <w:bCs/>
                <w:color w:val="000000"/>
                <w:sz w:val="18"/>
                <w:szCs w:val="18"/>
              </w:rPr>
              <w:t>部门联系人：</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rPr>
              <w:t>程朝阳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18"/>
                <w:szCs w:val="18"/>
              </w:rPr>
            </w:pPr>
            <w:r>
              <w:rPr>
                <w:rFonts w:cs="宋体"/>
                <w:b/>
                <w:bCs/>
                <w:color w:val="000000"/>
                <w:sz w:val="18"/>
                <w:szCs w:val="18"/>
              </w:rPr>
              <w:t>联系电话：</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18"/>
                <w:szCs w:val="18"/>
              </w:rPr>
            </w:pPr>
            <w:r>
              <w:rPr>
                <w:rFonts w:cs="宋体"/>
                <w:color w:val="000000"/>
                <w:sz w:val="18"/>
                <w:szCs w:val="18"/>
              </w:rPr>
              <w:t>13509434058</w:t>
            </w:r>
          </w:p>
        </w:tc>
      </w:tr>
      <w:tr>
        <w:tblPrEx>
          <w:tblCellMar>
            <w:top w:w="0" w:type="dxa"/>
            <w:left w:w="108" w:type="dxa"/>
            <w:bottom w:w="0" w:type="dxa"/>
            <w:right w:w="108" w:type="dxa"/>
          </w:tblCellMar>
        </w:tblPrEx>
        <w:trPr>
          <w:trHeight w:val="400" w:hRule="atLeast"/>
        </w:trPr>
        <w:tc>
          <w:tcPr>
            <w:tcW w:w="87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color w:val="808080"/>
                <w:sz w:val="18"/>
                <w:szCs w:val="18"/>
              </w:rPr>
            </w:pPr>
            <w:r>
              <w:rPr>
                <w:rFonts w:ascii="微软雅黑" w:hAnsi="微软雅黑" w:eastAsia="微软雅黑" w:cs="微软雅黑"/>
                <w:b/>
                <w:bCs/>
                <w:color w:val="808080"/>
                <w:sz w:val="18"/>
                <w:szCs w:val="18"/>
              </w:rPr>
              <w:t>资金情况</w:t>
            </w:r>
          </w:p>
        </w:tc>
      </w:tr>
      <w:tr>
        <w:tblPrEx>
          <w:tblCellMar>
            <w:top w:w="0" w:type="dxa"/>
            <w:left w:w="108" w:type="dxa"/>
            <w:bottom w:w="0" w:type="dxa"/>
            <w:right w:w="108" w:type="dxa"/>
          </w:tblCellMar>
        </w:tblPrEx>
        <w:trPr>
          <w:trHeight w:val="500" w:hRule="atLeast"/>
        </w:trPr>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18"/>
                <w:szCs w:val="18"/>
              </w:rPr>
            </w:pP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rPr>
              <w:t>年初预算数</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rPr>
              <w:t>全年（调整）预算数</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rPr>
              <w:t>全年执行数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rPr>
              <w:t>执行率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b/>
                <w:bCs/>
                <w:color w:val="000000"/>
                <w:sz w:val="18"/>
                <w:szCs w:val="18"/>
              </w:rPr>
            </w:pPr>
            <w:r>
              <w:rPr>
                <w:rFonts w:cs="宋体"/>
                <w:b/>
                <w:bCs/>
                <w:color w:val="000000"/>
                <w:sz w:val="18"/>
                <w:szCs w:val="18"/>
              </w:rPr>
              <w:t>执行率权重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rPr>
              <w:t>执行率得分</w:t>
            </w:r>
          </w:p>
        </w:tc>
      </w:tr>
      <w:tr>
        <w:tblPrEx>
          <w:tblCellMar>
            <w:top w:w="0" w:type="dxa"/>
            <w:left w:w="108" w:type="dxa"/>
            <w:bottom w:w="0" w:type="dxa"/>
            <w:right w:w="108" w:type="dxa"/>
          </w:tblCellMar>
        </w:tblPrEx>
        <w:trPr>
          <w:trHeight w:val="660" w:hRule="atLeast"/>
        </w:trPr>
        <w:tc>
          <w:tcPr>
            <w:tcW w:w="840"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color w:val="000000"/>
                <w:sz w:val="18"/>
                <w:szCs w:val="18"/>
              </w:rPr>
            </w:pPr>
            <w:r>
              <w:rPr>
                <w:rFonts w:cs="宋体"/>
                <w:color w:val="000000"/>
                <w:sz w:val="18"/>
                <w:szCs w:val="18"/>
              </w:rPr>
              <w:t>年度总金额</w:t>
            </w:r>
          </w:p>
        </w:tc>
        <w:tc>
          <w:tcPr>
            <w:tcW w:w="315" w:type="dxa"/>
            <w:tcBorders>
              <w:top w:val="single" w:color="000000" w:sz="4" w:space="0"/>
              <w:left w:val="nil"/>
              <w:bottom w:val="single" w:color="000000" w:sz="4" w:space="0"/>
              <w:right w:val="single" w:color="000000" w:sz="4" w:space="0"/>
            </w:tcBorders>
            <w:shd w:val="clear" w:color="auto" w:fill="auto"/>
            <w:vAlign w:val="center"/>
          </w:tcPr>
          <w:p>
            <w:pPr>
              <w:rPr>
                <w:rFonts w:hint="default" w:cs="宋体"/>
                <w:color w:val="000000"/>
                <w:sz w:val="18"/>
                <w:szCs w:val="18"/>
              </w:rPr>
            </w:pPr>
          </w:p>
        </w:tc>
        <w:tc>
          <w:tcPr>
            <w:tcW w:w="720"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18"/>
                <w:szCs w:val="18"/>
              </w:rPr>
            </w:pPr>
          </w:p>
        </w:tc>
        <w:tc>
          <w:tcPr>
            <w:tcW w:w="1020"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12"/>
                <w:szCs w:val="12"/>
              </w:rPr>
            </w:pPr>
            <w:r>
              <w:rPr>
                <w:rFonts w:cs="宋体"/>
                <w:color w:val="000000"/>
                <w:sz w:val="12"/>
                <w:szCs w:val="12"/>
              </w:rPr>
              <w:t xml:space="preserve">14,282,993.36 </w:t>
            </w:r>
          </w:p>
        </w:tc>
        <w:tc>
          <w:tcPr>
            <w:tcW w:w="615"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12"/>
                <w:szCs w:val="12"/>
              </w:rPr>
            </w:pPr>
          </w:p>
        </w:tc>
        <w:tc>
          <w:tcPr>
            <w:tcW w:w="1110"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12"/>
                <w:szCs w:val="12"/>
              </w:rPr>
            </w:pPr>
            <w:r>
              <w:rPr>
                <w:rFonts w:cs="宋体"/>
                <w:color w:val="000000"/>
                <w:sz w:val="12"/>
                <w:szCs w:val="12"/>
              </w:rPr>
              <w:t xml:space="preserve">21,719,421.08 </w:t>
            </w:r>
          </w:p>
        </w:tc>
        <w:tc>
          <w:tcPr>
            <w:tcW w:w="585"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12"/>
                <w:szCs w:val="12"/>
              </w:rPr>
            </w:pPr>
          </w:p>
        </w:tc>
        <w:tc>
          <w:tcPr>
            <w:tcW w:w="1155"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12"/>
                <w:szCs w:val="12"/>
              </w:rPr>
            </w:pPr>
            <w:r>
              <w:rPr>
                <w:rFonts w:cs="宋体"/>
                <w:color w:val="000000"/>
                <w:sz w:val="12"/>
                <w:szCs w:val="12"/>
              </w:rPr>
              <w:t xml:space="preserve">19,644,421.08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12"/>
                <w:szCs w:val="1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12"/>
                <w:szCs w:val="12"/>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12"/>
                <w:szCs w:val="12"/>
              </w:rPr>
            </w:pPr>
          </w:p>
        </w:tc>
      </w:tr>
      <w:tr>
        <w:tblPrEx>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color w:val="000000"/>
                <w:sz w:val="18"/>
                <w:szCs w:val="18"/>
              </w:rPr>
            </w:pPr>
            <w:r>
              <w:rPr>
                <w:rFonts w:cs="宋体"/>
                <w:color w:val="000000"/>
                <w:sz w:val="18"/>
                <w:szCs w:val="18"/>
              </w:rPr>
              <w:t>其中：财政拨款</w:t>
            </w:r>
          </w:p>
        </w:tc>
        <w:tc>
          <w:tcPr>
            <w:tcW w:w="315" w:type="dxa"/>
            <w:tcBorders>
              <w:top w:val="single" w:color="000000" w:sz="4" w:space="0"/>
              <w:left w:val="nil"/>
              <w:bottom w:val="single" w:color="000000" w:sz="4" w:space="0"/>
              <w:right w:val="single" w:color="000000" w:sz="4" w:space="0"/>
            </w:tcBorders>
            <w:shd w:val="clear" w:color="auto" w:fill="auto"/>
            <w:vAlign w:val="center"/>
          </w:tcPr>
          <w:p>
            <w:pPr>
              <w:rPr>
                <w:rFonts w:hint="default" w:cs="宋体"/>
                <w:color w:val="000000"/>
                <w:sz w:val="18"/>
                <w:szCs w:val="18"/>
              </w:rPr>
            </w:pPr>
          </w:p>
        </w:tc>
        <w:tc>
          <w:tcPr>
            <w:tcW w:w="720"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18"/>
                <w:szCs w:val="18"/>
              </w:rPr>
            </w:pPr>
          </w:p>
        </w:tc>
        <w:tc>
          <w:tcPr>
            <w:tcW w:w="1020"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12"/>
                <w:szCs w:val="12"/>
              </w:rPr>
            </w:pPr>
            <w:r>
              <w:rPr>
                <w:rFonts w:cs="宋体"/>
                <w:color w:val="000000"/>
                <w:sz w:val="12"/>
                <w:szCs w:val="12"/>
              </w:rPr>
              <w:t xml:space="preserve">14,282,993.36 </w:t>
            </w:r>
          </w:p>
        </w:tc>
        <w:tc>
          <w:tcPr>
            <w:tcW w:w="615"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12"/>
                <w:szCs w:val="12"/>
              </w:rPr>
            </w:pPr>
          </w:p>
        </w:tc>
        <w:tc>
          <w:tcPr>
            <w:tcW w:w="1110"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12"/>
                <w:szCs w:val="12"/>
              </w:rPr>
            </w:pPr>
            <w:r>
              <w:rPr>
                <w:rFonts w:cs="宋体"/>
                <w:color w:val="000000"/>
                <w:sz w:val="12"/>
                <w:szCs w:val="12"/>
              </w:rPr>
              <w:t xml:space="preserve">21,719,421.08 </w:t>
            </w:r>
          </w:p>
        </w:tc>
        <w:tc>
          <w:tcPr>
            <w:tcW w:w="585"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12"/>
                <w:szCs w:val="12"/>
              </w:rPr>
            </w:pPr>
          </w:p>
        </w:tc>
        <w:tc>
          <w:tcPr>
            <w:tcW w:w="1155"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12"/>
                <w:szCs w:val="12"/>
              </w:rPr>
            </w:pPr>
            <w:r>
              <w:rPr>
                <w:rFonts w:cs="宋体"/>
                <w:color w:val="000000"/>
                <w:sz w:val="12"/>
                <w:szCs w:val="12"/>
              </w:rPr>
              <w:t xml:space="preserve">19,644,421.08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12"/>
                <w:szCs w:val="12"/>
              </w:rPr>
            </w:pPr>
            <w:r>
              <w:rPr>
                <w:rFonts w:cs="宋体"/>
                <w:color w:val="000000"/>
                <w:sz w:val="12"/>
                <w:szCs w:val="12"/>
              </w:rPr>
              <w:t>90.45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12"/>
                <w:szCs w:val="12"/>
              </w:rPr>
            </w:pPr>
            <w:r>
              <w:rPr>
                <w:rFonts w:cs="宋体"/>
                <w:color w:val="000000"/>
                <w:sz w:val="12"/>
                <w:szCs w:val="12"/>
              </w:rPr>
              <w:t>10.00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20" w:firstLineChars="100"/>
              <w:jc w:val="right"/>
              <w:textAlignment w:val="center"/>
              <w:rPr>
                <w:rFonts w:hint="default" w:cs="宋体"/>
                <w:color w:val="000000"/>
                <w:sz w:val="12"/>
                <w:szCs w:val="12"/>
              </w:rPr>
            </w:pPr>
            <w:r>
              <w:rPr>
                <w:rFonts w:cs="宋体"/>
                <w:color w:val="000000"/>
                <w:sz w:val="12"/>
                <w:szCs w:val="12"/>
              </w:rPr>
              <w:t xml:space="preserve">9.05 </w:t>
            </w:r>
          </w:p>
        </w:tc>
      </w:tr>
      <w:tr>
        <w:tblPrEx>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color w:val="000000"/>
                <w:sz w:val="18"/>
                <w:szCs w:val="18"/>
              </w:rPr>
            </w:pPr>
            <w:r>
              <w:rPr>
                <w:rFonts w:cs="宋体"/>
                <w:color w:val="000000"/>
                <w:sz w:val="18"/>
                <w:szCs w:val="18"/>
              </w:rPr>
              <w:t>一般公共预算</w:t>
            </w:r>
          </w:p>
        </w:tc>
        <w:tc>
          <w:tcPr>
            <w:tcW w:w="315" w:type="dxa"/>
            <w:tcBorders>
              <w:top w:val="single" w:color="000000" w:sz="4" w:space="0"/>
              <w:left w:val="nil"/>
              <w:bottom w:val="single" w:color="000000" w:sz="4" w:space="0"/>
              <w:right w:val="single" w:color="000000" w:sz="4" w:space="0"/>
            </w:tcBorders>
            <w:shd w:val="clear" w:color="auto" w:fill="auto"/>
            <w:vAlign w:val="center"/>
          </w:tcPr>
          <w:p>
            <w:pPr>
              <w:rPr>
                <w:rFonts w:hint="default" w:cs="宋体"/>
                <w:color w:val="000000"/>
                <w:sz w:val="18"/>
                <w:szCs w:val="18"/>
              </w:rPr>
            </w:pPr>
          </w:p>
        </w:tc>
        <w:tc>
          <w:tcPr>
            <w:tcW w:w="720"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18"/>
                <w:szCs w:val="18"/>
              </w:rPr>
            </w:pPr>
          </w:p>
        </w:tc>
        <w:tc>
          <w:tcPr>
            <w:tcW w:w="1020"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12"/>
                <w:szCs w:val="12"/>
              </w:rPr>
            </w:pPr>
            <w:r>
              <w:rPr>
                <w:rFonts w:cs="宋体"/>
                <w:color w:val="000000"/>
                <w:sz w:val="12"/>
                <w:szCs w:val="12"/>
              </w:rPr>
              <w:t xml:space="preserve">13,842,993.36 </w:t>
            </w:r>
          </w:p>
        </w:tc>
        <w:tc>
          <w:tcPr>
            <w:tcW w:w="615"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12"/>
                <w:szCs w:val="12"/>
              </w:rPr>
            </w:pPr>
          </w:p>
        </w:tc>
        <w:tc>
          <w:tcPr>
            <w:tcW w:w="1110"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12"/>
                <w:szCs w:val="12"/>
              </w:rPr>
            </w:pPr>
            <w:r>
              <w:rPr>
                <w:rFonts w:cs="宋体"/>
                <w:color w:val="000000"/>
                <w:sz w:val="12"/>
                <w:szCs w:val="12"/>
              </w:rPr>
              <w:t xml:space="preserve">20,719,421.08 </w:t>
            </w:r>
          </w:p>
        </w:tc>
        <w:tc>
          <w:tcPr>
            <w:tcW w:w="585"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12"/>
                <w:szCs w:val="12"/>
              </w:rPr>
            </w:pPr>
          </w:p>
        </w:tc>
        <w:tc>
          <w:tcPr>
            <w:tcW w:w="1155"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12"/>
                <w:szCs w:val="12"/>
              </w:rPr>
            </w:pPr>
            <w:r>
              <w:rPr>
                <w:rFonts w:cs="宋体"/>
                <w:color w:val="000000"/>
                <w:sz w:val="12"/>
                <w:szCs w:val="12"/>
              </w:rPr>
              <w:t xml:space="preserve">18,644,421.08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12"/>
                <w:szCs w:val="12"/>
              </w:rPr>
            </w:pPr>
            <w:r>
              <w:rPr>
                <w:rFonts w:cs="宋体"/>
                <w:color w:val="000000"/>
                <w:sz w:val="12"/>
                <w:szCs w:val="12"/>
              </w:rPr>
              <w:t>89.99</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12"/>
                <w:szCs w:val="12"/>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12"/>
                <w:szCs w:val="12"/>
              </w:rPr>
            </w:pPr>
          </w:p>
        </w:tc>
      </w:tr>
      <w:tr>
        <w:tblPrEx>
          <w:tblCellMar>
            <w:top w:w="0" w:type="dxa"/>
            <w:left w:w="108" w:type="dxa"/>
            <w:bottom w:w="0" w:type="dxa"/>
            <w:right w:w="108" w:type="dxa"/>
          </w:tblCellMar>
        </w:tblPrEx>
        <w:trPr>
          <w:trHeight w:val="420" w:hRule="atLeast"/>
        </w:trPr>
        <w:tc>
          <w:tcPr>
            <w:tcW w:w="87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color w:val="808080"/>
                <w:sz w:val="18"/>
                <w:szCs w:val="18"/>
              </w:rPr>
            </w:pPr>
            <w:r>
              <w:rPr>
                <w:rFonts w:ascii="微软雅黑" w:hAnsi="微软雅黑" w:eastAsia="微软雅黑" w:cs="微软雅黑"/>
                <w:b/>
                <w:bCs/>
                <w:color w:val="808080"/>
                <w:sz w:val="18"/>
                <w:szCs w:val="18"/>
              </w:rPr>
              <w:t>绩效目标</w:t>
            </w:r>
          </w:p>
        </w:tc>
      </w:tr>
      <w:tr>
        <w:tblPrEx>
          <w:tblCellMar>
            <w:top w:w="0" w:type="dxa"/>
            <w:left w:w="108" w:type="dxa"/>
            <w:bottom w:w="0" w:type="dxa"/>
            <w:right w:w="108" w:type="dxa"/>
          </w:tblCellMar>
        </w:tblPrEx>
        <w:trPr>
          <w:trHeight w:val="500" w:hRule="atLeast"/>
        </w:trPr>
        <w:tc>
          <w:tcPr>
            <w:tcW w:w="28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rPr>
              <w:t>年初绩效目标</w:t>
            </w:r>
          </w:p>
        </w:tc>
        <w:tc>
          <w:tcPr>
            <w:tcW w:w="34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rPr>
              <w:t>全年（调整）绩效目标</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rPr>
              <w:t>全年目标实际完成情况</w:t>
            </w:r>
          </w:p>
        </w:tc>
      </w:tr>
      <w:tr>
        <w:tblPrEx>
          <w:tblCellMar>
            <w:top w:w="0" w:type="dxa"/>
            <w:left w:w="108" w:type="dxa"/>
            <w:bottom w:w="0" w:type="dxa"/>
            <w:right w:w="108" w:type="dxa"/>
          </w:tblCellMar>
        </w:tblPrEx>
        <w:trPr>
          <w:trHeight w:val="6000" w:hRule="atLeast"/>
        </w:trPr>
        <w:tc>
          <w:tcPr>
            <w:tcW w:w="2895" w:type="dxa"/>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18"/>
                <w:szCs w:val="18"/>
              </w:rPr>
            </w:pPr>
            <w:r>
              <w:rPr>
                <w:rFonts w:cs="宋体"/>
                <w:color w:val="000000"/>
                <w:sz w:val="18"/>
                <w:szCs w:val="18"/>
              </w:rPr>
              <w:t>1.至少与8家主流媒体运行合作，通过对外宣传，提升巫溪知名度和美誉度。</w:t>
            </w:r>
          </w:p>
          <w:p>
            <w:pPr>
              <w:textAlignment w:val="top"/>
              <w:rPr>
                <w:rFonts w:hint="default" w:cs="宋体"/>
                <w:color w:val="000000"/>
                <w:sz w:val="18"/>
                <w:szCs w:val="18"/>
              </w:rPr>
            </w:pPr>
            <w:r>
              <w:rPr>
                <w:rFonts w:cs="宋体"/>
                <w:color w:val="000000"/>
                <w:sz w:val="18"/>
                <w:szCs w:val="18"/>
              </w:rPr>
              <w:t>2.县委中心组学习不少于6次；</w:t>
            </w:r>
          </w:p>
          <w:p>
            <w:pPr>
              <w:textAlignment w:val="top"/>
              <w:rPr>
                <w:rFonts w:hint="default" w:cs="宋体"/>
                <w:color w:val="000000"/>
                <w:sz w:val="18"/>
                <w:szCs w:val="18"/>
              </w:rPr>
            </w:pPr>
            <w:r>
              <w:rPr>
                <w:rFonts w:cs="宋体"/>
                <w:color w:val="000000"/>
                <w:sz w:val="18"/>
                <w:szCs w:val="18"/>
              </w:rPr>
              <w:t>3.理论宣讲及调研；</w:t>
            </w:r>
          </w:p>
          <w:p>
            <w:pPr>
              <w:textAlignment w:val="top"/>
              <w:rPr>
                <w:rFonts w:hint="default" w:cs="宋体"/>
                <w:color w:val="000000"/>
                <w:sz w:val="18"/>
                <w:szCs w:val="18"/>
              </w:rPr>
            </w:pPr>
            <w:r>
              <w:rPr>
                <w:rFonts w:cs="宋体"/>
                <w:color w:val="000000"/>
                <w:sz w:val="18"/>
                <w:szCs w:val="18"/>
              </w:rPr>
              <w:t>4..理论成果转化；</w:t>
            </w:r>
          </w:p>
          <w:p>
            <w:pPr>
              <w:textAlignment w:val="top"/>
              <w:rPr>
                <w:rFonts w:hint="default" w:cs="宋体"/>
                <w:color w:val="000000"/>
                <w:sz w:val="18"/>
                <w:szCs w:val="18"/>
              </w:rPr>
            </w:pPr>
            <w:r>
              <w:rPr>
                <w:rFonts w:cs="宋体"/>
                <w:color w:val="000000"/>
                <w:sz w:val="18"/>
                <w:szCs w:val="18"/>
              </w:rPr>
              <w:t>5.开展全县宣传思想文化系统干部教育培训。</w:t>
            </w:r>
          </w:p>
          <w:p>
            <w:pPr>
              <w:textAlignment w:val="top"/>
              <w:rPr>
                <w:rFonts w:hint="default" w:cs="宋体"/>
                <w:color w:val="000000"/>
                <w:sz w:val="18"/>
                <w:szCs w:val="18"/>
              </w:rPr>
            </w:pPr>
            <w:r>
              <w:rPr>
                <w:rFonts w:cs="宋体"/>
                <w:color w:val="000000"/>
                <w:sz w:val="18"/>
                <w:szCs w:val="18"/>
              </w:rPr>
              <w:t>6.意识形态工作联席会议2次；</w:t>
            </w:r>
          </w:p>
          <w:p>
            <w:pPr>
              <w:textAlignment w:val="top"/>
              <w:rPr>
                <w:rFonts w:hint="default" w:cs="宋体"/>
                <w:color w:val="000000"/>
                <w:sz w:val="18"/>
                <w:szCs w:val="18"/>
              </w:rPr>
            </w:pPr>
            <w:r>
              <w:rPr>
                <w:rFonts w:cs="宋体"/>
                <w:color w:val="000000"/>
                <w:sz w:val="18"/>
                <w:szCs w:val="18"/>
              </w:rPr>
              <w:t>7..开展“扫黄打非”“五大”（清源、固边、净网、秋风、护苗）专项行动进基层活动。</w:t>
            </w:r>
          </w:p>
          <w:p>
            <w:pPr>
              <w:textAlignment w:val="top"/>
              <w:rPr>
                <w:rFonts w:hint="default" w:cs="宋体"/>
                <w:color w:val="000000"/>
                <w:sz w:val="18"/>
                <w:szCs w:val="18"/>
              </w:rPr>
            </w:pPr>
            <w:r>
              <w:rPr>
                <w:rFonts w:cs="宋体"/>
                <w:color w:val="000000"/>
                <w:sz w:val="18"/>
                <w:szCs w:val="18"/>
              </w:rPr>
              <w:t>8.网络网络安全宣传、应急演练、舆情处置等；</w:t>
            </w:r>
          </w:p>
          <w:p>
            <w:pPr>
              <w:textAlignment w:val="top"/>
              <w:rPr>
                <w:rFonts w:hint="default" w:cs="宋体"/>
                <w:color w:val="000000"/>
                <w:sz w:val="18"/>
                <w:szCs w:val="18"/>
              </w:rPr>
            </w:pPr>
            <w:r>
              <w:rPr>
                <w:rFonts w:cs="宋体"/>
                <w:color w:val="000000"/>
                <w:sz w:val="18"/>
                <w:szCs w:val="18"/>
              </w:rPr>
              <w:t>9.惠民电影放映</w:t>
            </w:r>
          </w:p>
          <w:p>
            <w:pPr>
              <w:textAlignment w:val="top"/>
              <w:rPr>
                <w:rFonts w:hint="default" w:cs="宋体"/>
                <w:color w:val="000000"/>
                <w:sz w:val="18"/>
                <w:szCs w:val="18"/>
              </w:rPr>
            </w:pPr>
            <w:r>
              <w:rPr>
                <w:rFonts w:cs="宋体"/>
                <w:color w:val="000000"/>
                <w:sz w:val="18"/>
                <w:szCs w:val="18"/>
              </w:rPr>
              <w:t>10.文化文明数字系统建设应用，巩固文明城市创建成果。</w:t>
            </w:r>
          </w:p>
          <w:p>
            <w:pPr>
              <w:textAlignment w:val="top"/>
              <w:rPr>
                <w:rFonts w:hint="default" w:cs="宋体"/>
                <w:color w:val="000000"/>
                <w:sz w:val="18"/>
                <w:szCs w:val="18"/>
              </w:rPr>
            </w:pPr>
            <w:r>
              <w:rPr>
                <w:rFonts w:cs="宋体"/>
                <w:color w:val="000000"/>
                <w:sz w:val="18"/>
                <w:szCs w:val="18"/>
              </w:rPr>
              <w:t>11.开展新时代文明实践活动，提升群众获得感、幸福感。</w:t>
            </w:r>
          </w:p>
        </w:tc>
        <w:tc>
          <w:tcPr>
            <w:tcW w:w="3465" w:type="dxa"/>
            <w:gridSpan w:val="4"/>
            <w:tcBorders>
              <w:top w:val="single" w:color="000000" w:sz="4" w:space="0"/>
              <w:left w:val="single" w:color="000000" w:sz="4" w:space="0"/>
              <w:bottom w:val="single" w:color="000000" w:sz="4" w:space="0"/>
              <w:right w:val="single" w:color="000000" w:sz="4" w:space="0"/>
            </w:tcBorders>
            <w:shd w:val="clear" w:color="auto" w:fill="auto"/>
          </w:tcPr>
          <w:p>
            <w:pPr>
              <w:rPr>
                <w:rFonts w:hint="default" w:cs="宋体"/>
                <w:color w:val="000000"/>
                <w:sz w:val="18"/>
                <w:szCs w:val="18"/>
              </w:rPr>
            </w:pP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18"/>
                <w:szCs w:val="18"/>
              </w:rPr>
            </w:pPr>
            <w:r>
              <w:rPr>
                <w:rFonts w:cs="宋体"/>
                <w:color w:val="000000"/>
                <w:sz w:val="18"/>
                <w:szCs w:val="18"/>
              </w:rPr>
              <w:t>县委理论学习中心组开展专题学习10次，组建县委宣讲团深入乡镇、企业开展宣讲152场；以“宁河金喇叭”为龙头，开展示范巡回宣讲130场次，带动各级各部门开展宣讲8148场次；《重庆日报》整版报道巫溪5次，中央、市级媒体赴巫采访13次，刊发报道1126篇。邀请海外知名博主赴巫沉浸式体验3次，录制短视频海外观看量超13万。获评市级文明实践示范阵地9个，1个作品获评市级新时代文明实践“六讲”暨党的二十届三中全会精神宣讲稿征集活动一等奖。获评市级先进典型8人次，2人荣登“重庆好人”榜，1人入选“中国好人”候选人。深入开展“清朗”系列专项行动，处置违法和不良信息109条，处罚造谣人员2件次。出版《巫溪文艺》4期，成功举办渝陕两地乡村振兴美术作品展，原创作品75件。</w:t>
            </w:r>
          </w:p>
        </w:tc>
      </w:tr>
      <w:tr>
        <w:tblPrEx>
          <w:tblCellMar>
            <w:top w:w="0" w:type="dxa"/>
            <w:left w:w="108" w:type="dxa"/>
            <w:bottom w:w="0" w:type="dxa"/>
            <w:right w:w="108" w:type="dxa"/>
          </w:tblCellMar>
        </w:tblPrEx>
        <w:trPr>
          <w:trHeight w:val="440" w:hRule="atLeast"/>
        </w:trPr>
        <w:tc>
          <w:tcPr>
            <w:tcW w:w="87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color w:val="808080"/>
                <w:sz w:val="18"/>
                <w:szCs w:val="18"/>
              </w:rPr>
            </w:pPr>
            <w:r>
              <w:rPr>
                <w:rFonts w:ascii="微软雅黑" w:hAnsi="微软雅黑" w:eastAsia="微软雅黑" w:cs="微软雅黑"/>
                <w:b/>
                <w:bCs/>
                <w:color w:val="808080"/>
                <w:sz w:val="18"/>
                <w:szCs w:val="18"/>
              </w:rPr>
              <w:t>绩效指标</w:t>
            </w:r>
          </w:p>
        </w:tc>
      </w:tr>
      <w:tr>
        <w:tblPrEx>
          <w:tblCellMar>
            <w:top w:w="0" w:type="dxa"/>
            <w:left w:w="108" w:type="dxa"/>
            <w:bottom w:w="0" w:type="dxa"/>
            <w:right w:w="108" w:type="dxa"/>
          </w:tblCellMar>
        </w:tblPrEx>
        <w:trPr>
          <w:trHeight w:val="7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rPr>
              <w:t>指标名称</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rPr>
              <w:t>计量单位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rPr>
              <w:t>指标性质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rPr>
              <w:t>指标值</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rPr>
              <w:t>全年完成值</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rPr>
              <w:t>偏离度（%）</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rPr>
              <w:t>得分系数（%）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rPr>
              <w:t>指标权重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rPr>
              <w:t>指标得分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rPr>
              <w:t>是否核心指标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rPr>
              <w:t>说明</w:t>
            </w:r>
          </w:p>
        </w:tc>
      </w:tr>
      <w:tr>
        <w:tblPrEx>
          <w:tblCellMar>
            <w:top w:w="0" w:type="dxa"/>
            <w:left w:w="108" w:type="dxa"/>
            <w:bottom w:w="0" w:type="dxa"/>
            <w:right w:w="108" w:type="dxa"/>
          </w:tblCellMar>
        </w:tblPrEx>
        <w:trPr>
          <w:trHeight w:val="15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rPr>
              <w:t>开展感动人物活动</w:t>
            </w:r>
          </w:p>
        </w:tc>
        <w:tc>
          <w:tcPr>
            <w:tcW w:w="315" w:type="dxa"/>
            <w:tcBorders>
              <w:top w:val="single" w:color="000000" w:sz="4" w:space="0"/>
              <w:left w:val="single" w:color="000000" w:sz="4" w:space="0"/>
              <w:bottom w:val="single" w:color="000000" w:sz="4" w:space="0"/>
              <w:right w:val="single" w:color="000000" w:sz="4" w:space="0"/>
            </w:tcBorders>
            <w:shd w:val="clear" w:color="auto" w:fill="auto"/>
          </w:tcPr>
          <w:p>
            <w:pPr>
              <w:jc w:val="center"/>
              <w:textAlignment w:val="top"/>
              <w:rPr>
                <w:rFonts w:hint="default" w:cs="宋体"/>
                <w:color w:val="000000"/>
                <w:sz w:val="18"/>
                <w:szCs w:val="18"/>
              </w:rPr>
            </w:pPr>
            <w:r>
              <w:rPr>
                <w:rFonts w:cs="宋体"/>
                <w:color w:val="000000"/>
                <w:sz w:val="18"/>
                <w:szCs w:val="18"/>
              </w:rPr>
              <w:t>场次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18"/>
                <w:szCs w:val="18"/>
              </w:rPr>
            </w:pPr>
          </w:p>
        </w:tc>
      </w:tr>
      <w:tr>
        <w:tblPrEx>
          <w:tblCellMar>
            <w:top w:w="0" w:type="dxa"/>
            <w:left w:w="108" w:type="dxa"/>
            <w:bottom w:w="0" w:type="dxa"/>
            <w:right w:w="108" w:type="dxa"/>
          </w:tblCellMar>
        </w:tblPrEx>
        <w:trPr>
          <w:trHeight w:val="15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rPr>
              <w:t>开展文明实践活动场次</w:t>
            </w:r>
          </w:p>
        </w:tc>
        <w:tc>
          <w:tcPr>
            <w:tcW w:w="315" w:type="dxa"/>
            <w:tcBorders>
              <w:top w:val="single" w:color="000000" w:sz="4" w:space="0"/>
              <w:left w:val="single" w:color="000000" w:sz="4" w:space="0"/>
              <w:bottom w:val="single" w:color="000000" w:sz="4" w:space="0"/>
              <w:right w:val="single" w:color="000000" w:sz="4" w:space="0"/>
            </w:tcBorders>
            <w:shd w:val="clear" w:color="auto" w:fill="auto"/>
          </w:tcPr>
          <w:p>
            <w:pPr>
              <w:jc w:val="center"/>
              <w:textAlignment w:val="top"/>
              <w:rPr>
                <w:rFonts w:hint="default" w:cs="宋体"/>
                <w:color w:val="000000"/>
                <w:sz w:val="18"/>
                <w:szCs w:val="18"/>
              </w:rPr>
            </w:pPr>
            <w:r>
              <w:rPr>
                <w:rFonts w:cs="宋体"/>
                <w:color w:val="000000"/>
                <w:sz w:val="18"/>
                <w:szCs w:val="18"/>
              </w:rPr>
              <w:t>场次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200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200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rPr>
              <w:t>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18"/>
                <w:szCs w:val="18"/>
              </w:rPr>
            </w:pPr>
          </w:p>
        </w:tc>
      </w:tr>
      <w:tr>
        <w:tblPrEx>
          <w:tblCellMar>
            <w:top w:w="0" w:type="dxa"/>
            <w:left w:w="108" w:type="dxa"/>
            <w:bottom w:w="0" w:type="dxa"/>
            <w:right w:w="108" w:type="dxa"/>
          </w:tblCellMar>
        </w:tblPrEx>
        <w:trPr>
          <w:trHeight w:val="15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rPr>
              <w:t>理论宣讲场次</w:t>
            </w:r>
          </w:p>
        </w:tc>
        <w:tc>
          <w:tcPr>
            <w:tcW w:w="315" w:type="dxa"/>
            <w:tcBorders>
              <w:top w:val="single" w:color="000000" w:sz="4" w:space="0"/>
              <w:left w:val="single" w:color="000000" w:sz="4" w:space="0"/>
              <w:bottom w:val="single" w:color="000000" w:sz="4" w:space="0"/>
              <w:right w:val="single" w:color="000000" w:sz="4" w:space="0"/>
            </w:tcBorders>
            <w:shd w:val="clear" w:color="auto" w:fill="auto"/>
          </w:tcPr>
          <w:p>
            <w:pPr>
              <w:jc w:val="center"/>
              <w:textAlignment w:val="top"/>
              <w:rPr>
                <w:rFonts w:hint="default" w:cs="宋体"/>
                <w:color w:val="000000"/>
                <w:sz w:val="18"/>
                <w:szCs w:val="18"/>
              </w:rPr>
            </w:pPr>
            <w:r>
              <w:rPr>
                <w:rFonts w:cs="宋体"/>
                <w:color w:val="000000"/>
                <w:sz w:val="18"/>
                <w:szCs w:val="18"/>
              </w:rPr>
              <w:t>场次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500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500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rPr>
              <w:t>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18"/>
                <w:szCs w:val="18"/>
              </w:rPr>
            </w:pPr>
          </w:p>
        </w:tc>
      </w:tr>
      <w:tr>
        <w:tblPrEx>
          <w:tblCellMar>
            <w:top w:w="0" w:type="dxa"/>
            <w:left w:w="108" w:type="dxa"/>
            <w:bottom w:w="0" w:type="dxa"/>
            <w:right w:w="108" w:type="dxa"/>
          </w:tblCellMar>
        </w:tblPrEx>
        <w:trPr>
          <w:trHeight w:val="15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rPr>
              <w:t>网络安全宣传活动</w:t>
            </w:r>
          </w:p>
        </w:tc>
        <w:tc>
          <w:tcPr>
            <w:tcW w:w="315" w:type="dxa"/>
            <w:tcBorders>
              <w:top w:val="single" w:color="000000" w:sz="4" w:space="0"/>
              <w:left w:val="single" w:color="000000" w:sz="4" w:space="0"/>
              <w:bottom w:val="single" w:color="000000" w:sz="4" w:space="0"/>
              <w:right w:val="single" w:color="000000" w:sz="4" w:space="0"/>
            </w:tcBorders>
            <w:shd w:val="clear" w:color="auto" w:fill="auto"/>
          </w:tcPr>
          <w:p>
            <w:pPr>
              <w:jc w:val="center"/>
              <w:textAlignment w:val="top"/>
              <w:rPr>
                <w:rFonts w:hint="default" w:cs="宋体"/>
                <w:color w:val="000000"/>
                <w:sz w:val="18"/>
                <w:szCs w:val="18"/>
              </w:rPr>
            </w:pPr>
            <w:r>
              <w:rPr>
                <w:rFonts w:cs="宋体"/>
                <w:color w:val="000000"/>
                <w:sz w:val="18"/>
                <w:szCs w:val="18"/>
              </w:rPr>
              <w:t>场次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18"/>
                <w:szCs w:val="18"/>
              </w:rPr>
            </w:pPr>
          </w:p>
        </w:tc>
      </w:tr>
      <w:tr>
        <w:tblPrEx>
          <w:tblCellMar>
            <w:top w:w="0" w:type="dxa"/>
            <w:left w:w="108" w:type="dxa"/>
            <w:bottom w:w="0" w:type="dxa"/>
            <w:right w:w="108" w:type="dxa"/>
          </w:tblCellMar>
        </w:tblPrEx>
        <w:trPr>
          <w:trHeight w:val="15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rPr>
              <w:t>县委中心组学习次数</w:t>
            </w:r>
          </w:p>
        </w:tc>
        <w:tc>
          <w:tcPr>
            <w:tcW w:w="315" w:type="dxa"/>
            <w:tcBorders>
              <w:top w:val="single" w:color="000000" w:sz="4" w:space="0"/>
              <w:left w:val="single" w:color="000000" w:sz="4" w:space="0"/>
              <w:bottom w:val="single" w:color="000000" w:sz="4" w:space="0"/>
              <w:right w:val="single" w:color="000000" w:sz="4" w:space="0"/>
            </w:tcBorders>
            <w:shd w:val="clear" w:color="auto" w:fill="auto"/>
          </w:tcPr>
          <w:p>
            <w:pPr>
              <w:jc w:val="center"/>
              <w:textAlignment w:val="top"/>
              <w:rPr>
                <w:rFonts w:hint="default" w:cs="宋体"/>
                <w:color w:val="000000"/>
                <w:sz w:val="18"/>
                <w:szCs w:val="18"/>
              </w:rPr>
            </w:pPr>
            <w:r>
              <w:rPr>
                <w:rFonts w:cs="宋体"/>
                <w:color w:val="000000"/>
                <w:sz w:val="18"/>
                <w:szCs w:val="18"/>
              </w:rPr>
              <w:t>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6</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rPr>
              <w:t>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18"/>
                <w:szCs w:val="18"/>
              </w:rPr>
            </w:pPr>
          </w:p>
        </w:tc>
      </w:tr>
      <w:tr>
        <w:tblPrEx>
          <w:tblCellMar>
            <w:top w:w="0" w:type="dxa"/>
            <w:left w:w="108" w:type="dxa"/>
            <w:bottom w:w="0" w:type="dxa"/>
            <w:right w:w="108" w:type="dxa"/>
          </w:tblCellMar>
        </w:tblPrEx>
        <w:trPr>
          <w:trHeight w:val="15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rPr>
              <w:t>与主流媒体运营合作家数</w:t>
            </w:r>
          </w:p>
        </w:tc>
        <w:tc>
          <w:tcPr>
            <w:tcW w:w="315" w:type="dxa"/>
            <w:tcBorders>
              <w:top w:val="single" w:color="000000" w:sz="4" w:space="0"/>
              <w:left w:val="single" w:color="000000" w:sz="4" w:space="0"/>
              <w:bottom w:val="single" w:color="000000" w:sz="4" w:space="0"/>
              <w:right w:val="single" w:color="000000" w:sz="4" w:space="0"/>
            </w:tcBorders>
            <w:shd w:val="clear" w:color="auto" w:fill="auto"/>
          </w:tcPr>
          <w:p>
            <w:pPr>
              <w:jc w:val="center"/>
              <w:textAlignment w:val="top"/>
              <w:rPr>
                <w:rFonts w:hint="default" w:cs="宋体"/>
                <w:color w:val="000000"/>
                <w:sz w:val="18"/>
                <w:szCs w:val="18"/>
              </w:rPr>
            </w:pPr>
            <w:r>
              <w:rPr>
                <w:rFonts w:cs="宋体"/>
                <w:color w:val="000000"/>
                <w:sz w:val="18"/>
                <w:szCs w:val="18"/>
              </w:rPr>
              <w:t>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8</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rPr>
              <w:t>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18"/>
                <w:szCs w:val="18"/>
              </w:rPr>
            </w:pPr>
          </w:p>
        </w:tc>
      </w:tr>
      <w:tr>
        <w:tblPrEx>
          <w:tblCellMar>
            <w:top w:w="0" w:type="dxa"/>
            <w:left w:w="108" w:type="dxa"/>
            <w:bottom w:w="0" w:type="dxa"/>
            <w:right w:w="108" w:type="dxa"/>
          </w:tblCellMar>
        </w:tblPrEx>
        <w:trPr>
          <w:trHeight w:val="15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rPr>
              <w:t>提升群众获得感安全感幸福感</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rPr>
              <w:t>定性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好</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rPr>
              <w:t>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18"/>
                <w:szCs w:val="18"/>
              </w:rPr>
            </w:pPr>
          </w:p>
        </w:tc>
      </w:tr>
      <w:tr>
        <w:tblPrEx>
          <w:tblCellMar>
            <w:top w:w="0" w:type="dxa"/>
            <w:left w:w="108" w:type="dxa"/>
            <w:bottom w:w="0" w:type="dxa"/>
            <w:right w:w="108" w:type="dxa"/>
          </w:tblCellMar>
        </w:tblPrEx>
        <w:trPr>
          <w:trHeight w:val="15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rPr>
              <w:t>群众满意度</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rPr>
              <w:t>定性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好</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jc w:val="right"/>
              <w:textAlignment w:val="center"/>
              <w:rPr>
                <w:rFonts w:hint="default" w:cs="宋体"/>
                <w:color w:val="000000"/>
                <w:sz w:val="18"/>
                <w:szCs w:val="18"/>
              </w:rPr>
            </w:pPr>
            <w:r>
              <w:rPr>
                <w:rFonts w:cs="宋体"/>
                <w:color w:val="000000"/>
                <w:sz w:val="18"/>
                <w:szCs w:val="18"/>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0" w:firstLineChars="100"/>
              <w:textAlignment w:val="center"/>
              <w:rPr>
                <w:rFonts w:hint="default" w:cs="宋体"/>
                <w:color w:val="000000"/>
                <w:sz w:val="18"/>
                <w:szCs w:val="18"/>
              </w:rPr>
            </w:pPr>
            <w:r>
              <w:rPr>
                <w:rFonts w:cs="宋体"/>
                <w:color w:val="000000"/>
                <w:sz w:val="18"/>
                <w:szCs w:val="18"/>
              </w:rPr>
              <w:t>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18"/>
                <w:szCs w:val="18"/>
              </w:rPr>
            </w:pPr>
          </w:p>
        </w:tc>
      </w:tr>
    </w:tbl>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p>
    <w:tbl>
      <w:tblPr>
        <w:tblStyle w:val="6"/>
        <w:tblW w:w="8220" w:type="dxa"/>
        <w:tblInd w:w="93" w:type="dxa"/>
        <w:tblLayout w:type="autofit"/>
        <w:tblCellMar>
          <w:top w:w="0" w:type="dxa"/>
          <w:left w:w="108" w:type="dxa"/>
          <w:bottom w:w="0" w:type="dxa"/>
          <w:right w:w="108" w:type="dxa"/>
        </w:tblCellMar>
      </w:tblPr>
      <w:tblGrid>
        <w:gridCol w:w="794"/>
        <w:gridCol w:w="423"/>
        <w:gridCol w:w="417"/>
        <w:gridCol w:w="794"/>
        <w:gridCol w:w="1148"/>
        <w:gridCol w:w="1330"/>
        <w:gridCol w:w="736"/>
        <w:gridCol w:w="852"/>
        <w:gridCol w:w="736"/>
        <w:gridCol w:w="640"/>
        <w:gridCol w:w="1276"/>
      </w:tblGrid>
      <w:tr>
        <w:tblPrEx>
          <w:tblCellMar>
            <w:top w:w="0" w:type="dxa"/>
            <w:left w:w="108" w:type="dxa"/>
            <w:bottom w:w="0" w:type="dxa"/>
            <w:right w:w="108" w:type="dxa"/>
          </w:tblCellMar>
        </w:tblPrEx>
        <w:trPr>
          <w:trHeight w:val="360" w:hRule="atLeast"/>
        </w:trPr>
        <w:tc>
          <w:tcPr>
            <w:tcW w:w="82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color w:val="000000"/>
                <w:sz w:val="20"/>
                <w:szCs w:val="20"/>
              </w:rPr>
            </w:pPr>
            <w:r>
              <w:rPr>
                <w:rFonts w:ascii="微软雅黑" w:hAnsi="微软雅黑" w:eastAsia="微软雅黑" w:cs="微软雅黑"/>
                <w:b/>
                <w:bCs/>
                <w:color w:val="000000"/>
                <w:sz w:val="20"/>
                <w:szCs w:val="20"/>
              </w:rPr>
              <w:t>2024年度二级项目绩效自评表</w:t>
            </w:r>
          </w:p>
        </w:tc>
      </w:tr>
      <w:tr>
        <w:tblPrEx>
          <w:tblCellMar>
            <w:top w:w="0" w:type="dxa"/>
            <w:left w:w="108" w:type="dxa"/>
            <w:bottom w:w="0" w:type="dxa"/>
            <w:right w:w="108" w:type="dxa"/>
          </w:tblCellMar>
        </w:tblPrEx>
        <w:trPr>
          <w:trHeight w:val="500" w:hRule="atLeast"/>
        </w:trPr>
        <w:tc>
          <w:tcPr>
            <w:tcW w:w="82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1" w:firstLineChars="100"/>
              <w:jc w:val="right"/>
              <w:textAlignment w:val="center"/>
              <w:rPr>
                <w:rFonts w:hint="default" w:cs="宋体"/>
                <w:b/>
                <w:bCs/>
                <w:color w:val="DA3232"/>
                <w:sz w:val="20"/>
                <w:szCs w:val="20"/>
              </w:rPr>
            </w:pPr>
            <w:r>
              <w:rPr>
                <w:rFonts w:cs="宋体"/>
                <w:b/>
                <w:bCs/>
                <w:color w:val="DA3232"/>
                <w:sz w:val="20"/>
                <w:szCs w:val="20"/>
              </w:rPr>
              <w:t>状态：部门审核已审</w:t>
            </w:r>
          </w:p>
        </w:tc>
      </w:tr>
      <w:tr>
        <w:tblPrEx>
          <w:tblCellMar>
            <w:top w:w="0" w:type="dxa"/>
            <w:left w:w="108" w:type="dxa"/>
            <w:bottom w:w="0" w:type="dxa"/>
            <w:right w:w="108" w:type="dxa"/>
          </w:tblCellMar>
        </w:tblPrEx>
        <w:trPr>
          <w:trHeight w:val="72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0"/>
                <w:szCs w:val="20"/>
              </w:rPr>
            </w:pPr>
            <w:r>
              <w:rPr>
                <w:rFonts w:cs="宋体"/>
                <w:b/>
                <w:bCs/>
                <w:color w:val="000000"/>
                <w:sz w:val="20"/>
                <w:szCs w:val="20"/>
              </w:rPr>
              <w:t>项目名称：</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rPr>
              <w:t>2024年巫溪文艺</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0"/>
                <w:szCs w:val="20"/>
              </w:rPr>
            </w:pPr>
            <w:r>
              <w:rPr>
                <w:rFonts w:cs="宋体"/>
                <w:b/>
                <w:bCs/>
                <w:color w:val="000000"/>
                <w:sz w:val="20"/>
                <w:szCs w:val="20"/>
              </w:rPr>
              <w:t>项目编码：</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rPr>
              <w:t>50023824T000004205826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0"/>
                <w:szCs w:val="20"/>
              </w:rPr>
            </w:pPr>
            <w:r>
              <w:rPr>
                <w:rFonts w:cs="宋体"/>
                <w:b/>
                <w:bCs/>
                <w:color w:val="000000"/>
                <w:sz w:val="20"/>
                <w:szCs w:val="20"/>
              </w:rPr>
              <w:t>自评总分：</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rPr>
              <w:t>100.00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b/>
                <w:bCs/>
                <w:color w:val="000000"/>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r>
      <w:tr>
        <w:tblPrEx>
          <w:tblCellMar>
            <w:top w:w="0" w:type="dxa"/>
            <w:left w:w="108" w:type="dxa"/>
            <w:bottom w:w="0" w:type="dxa"/>
            <w:right w:w="108" w:type="dxa"/>
          </w:tblCellMar>
        </w:tblPrEx>
        <w:trPr>
          <w:trHeight w:val="120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0"/>
                <w:szCs w:val="20"/>
              </w:rPr>
            </w:pPr>
            <w:r>
              <w:rPr>
                <w:rFonts w:cs="宋体"/>
                <w:b/>
                <w:bCs/>
                <w:color w:val="000000"/>
                <w:sz w:val="20"/>
                <w:szCs w:val="20"/>
              </w:rPr>
              <w:t>项目主管部门：</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rPr>
              <w:t>007-中国共产党巫溪县委员会宣传部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0"/>
                <w:szCs w:val="20"/>
              </w:rPr>
            </w:pPr>
            <w:r>
              <w:rPr>
                <w:rFonts w:cs="宋体"/>
                <w:b/>
                <w:bCs/>
                <w:color w:val="000000"/>
                <w:sz w:val="20"/>
                <w:szCs w:val="20"/>
              </w:rPr>
              <w:t>财政归口处室：</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rPr>
              <w:t>005-行财科</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0"/>
                <w:szCs w:val="20"/>
              </w:rPr>
            </w:pPr>
            <w:r>
              <w:rPr>
                <w:rFonts w:cs="宋体"/>
                <w:b/>
                <w:bCs/>
                <w:color w:val="000000"/>
                <w:sz w:val="20"/>
                <w:szCs w:val="20"/>
              </w:rPr>
              <w:t>部门联系人：</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rPr>
              <w:t>叶远洪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0"/>
                <w:szCs w:val="20"/>
              </w:rPr>
            </w:pPr>
            <w:r>
              <w:rPr>
                <w:rFonts w:cs="宋体"/>
                <w:b/>
                <w:bCs/>
                <w:color w:val="000000"/>
                <w:sz w:val="20"/>
                <w:szCs w:val="20"/>
              </w:rPr>
              <w:t>联系电话：</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0"/>
                <w:szCs w:val="20"/>
              </w:rPr>
            </w:pPr>
            <w:r>
              <w:rPr>
                <w:rFonts w:cs="宋体"/>
                <w:color w:val="000000"/>
                <w:sz w:val="20"/>
                <w:szCs w:val="20"/>
              </w:rPr>
              <w:t>15825934333</w:t>
            </w:r>
          </w:p>
        </w:tc>
      </w:tr>
      <w:tr>
        <w:tblPrEx>
          <w:tblCellMar>
            <w:top w:w="0" w:type="dxa"/>
            <w:left w:w="108" w:type="dxa"/>
            <w:bottom w:w="0" w:type="dxa"/>
            <w:right w:w="108" w:type="dxa"/>
          </w:tblCellMar>
        </w:tblPrEx>
        <w:trPr>
          <w:trHeight w:val="600" w:hRule="atLeast"/>
        </w:trPr>
        <w:tc>
          <w:tcPr>
            <w:tcW w:w="82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color w:val="808080"/>
                <w:sz w:val="20"/>
                <w:szCs w:val="20"/>
              </w:rPr>
            </w:pPr>
            <w:r>
              <w:rPr>
                <w:rFonts w:ascii="微软雅黑" w:hAnsi="微软雅黑" w:eastAsia="微软雅黑" w:cs="微软雅黑"/>
                <w:b/>
                <w:bCs/>
                <w:color w:val="808080"/>
                <w:sz w:val="20"/>
                <w:szCs w:val="20"/>
              </w:rPr>
              <w:t>资金情况</w:t>
            </w:r>
          </w:p>
        </w:tc>
      </w:tr>
      <w:tr>
        <w:tblPrEx>
          <w:tblCellMar>
            <w:top w:w="0" w:type="dxa"/>
            <w:left w:w="108" w:type="dxa"/>
            <w:bottom w:w="0" w:type="dxa"/>
            <w:right w:w="108" w:type="dxa"/>
          </w:tblCellMar>
        </w:tblPrEx>
        <w:trPr>
          <w:trHeight w:val="500" w:hRule="atLeast"/>
        </w:trPr>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0"/>
                <w:szCs w:val="20"/>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rPr>
              <w:t>年初预算数</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rPr>
              <w:t>全年（调整）预算数</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rPr>
              <w:t>全年执行数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rPr>
              <w:t>执行率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b/>
                <w:bCs/>
                <w:color w:val="000000"/>
                <w:sz w:val="20"/>
                <w:szCs w:val="20"/>
              </w:rPr>
            </w:pPr>
            <w:r>
              <w:rPr>
                <w:rFonts w:cs="宋体"/>
                <w:b/>
                <w:bCs/>
                <w:color w:val="000000"/>
                <w:sz w:val="20"/>
                <w:szCs w:val="20"/>
              </w:rPr>
              <w:t>执行率权重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rPr>
              <w:t>执行率得分</w:t>
            </w:r>
          </w:p>
        </w:tc>
      </w:tr>
      <w:tr>
        <w:tblPrEx>
          <w:tblCellMar>
            <w:top w:w="0" w:type="dxa"/>
            <w:left w:w="108" w:type="dxa"/>
            <w:bottom w:w="0" w:type="dxa"/>
            <w:right w:w="108" w:type="dxa"/>
          </w:tblCellMar>
        </w:tblPrEx>
        <w:trPr>
          <w:trHeight w:val="500" w:hRule="atLeast"/>
        </w:trPr>
        <w:tc>
          <w:tcPr>
            <w:tcW w:w="930"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color w:val="000000"/>
                <w:sz w:val="20"/>
                <w:szCs w:val="20"/>
              </w:rPr>
            </w:pPr>
            <w:r>
              <w:rPr>
                <w:rFonts w:cs="宋体"/>
                <w:color w:val="000000"/>
                <w:sz w:val="20"/>
                <w:szCs w:val="20"/>
              </w:rPr>
              <w:t>年度总金额</w:t>
            </w:r>
          </w:p>
        </w:tc>
        <w:tc>
          <w:tcPr>
            <w:tcW w:w="585" w:type="dxa"/>
            <w:tcBorders>
              <w:top w:val="single" w:color="000000" w:sz="4" w:space="0"/>
              <w:left w:val="nil"/>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570"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20"/>
                <w:szCs w:val="20"/>
              </w:rPr>
            </w:pPr>
          </w:p>
        </w:tc>
        <w:tc>
          <w:tcPr>
            <w:tcW w:w="885"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12"/>
                <w:szCs w:val="12"/>
              </w:rPr>
            </w:pPr>
            <w:r>
              <w:rPr>
                <w:rFonts w:cs="宋体"/>
                <w:color w:val="000000"/>
                <w:sz w:val="12"/>
                <w:szCs w:val="12"/>
              </w:rPr>
              <w:t xml:space="preserve">200,000.00 </w:t>
            </w:r>
          </w:p>
        </w:tc>
        <w:tc>
          <w:tcPr>
            <w:tcW w:w="825"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12"/>
                <w:szCs w:val="12"/>
              </w:rPr>
            </w:pPr>
          </w:p>
        </w:tc>
        <w:tc>
          <w:tcPr>
            <w:tcW w:w="900"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12"/>
                <w:szCs w:val="12"/>
              </w:rPr>
            </w:pPr>
            <w:r>
              <w:rPr>
                <w:rFonts w:cs="宋体"/>
                <w:color w:val="000000"/>
                <w:sz w:val="12"/>
                <w:szCs w:val="12"/>
              </w:rPr>
              <w:t xml:space="preserve">200,000.00 </w:t>
            </w:r>
          </w:p>
        </w:tc>
        <w:tc>
          <w:tcPr>
            <w:tcW w:w="705"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12"/>
                <w:szCs w:val="12"/>
              </w:rPr>
            </w:pPr>
          </w:p>
        </w:tc>
        <w:tc>
          <w:tcPr>
            <w:tcW w:w="870" w:type="dxa"/>
            <w:tcBorders>
              <w:top w:val="single" w:color="000000" w:sz="4" w:space="0"/>
              <w:left w:val="nil"/>
              <w:bottom w:val="single" w:color="000000" w:sz="4" w:space="0"/>
              <w:right w:val="single" w:color="000000" w:sz="4" w:space="0"/>
            </w:tcBorders>
            <w:shd w:val="clear" w:color="auto" w:fill="auto"/>
            <w:vAlign w:val="center"/>
          </w:tcPr>
          <w:p>
            <w:pPr>
              <w:ind w:right="60"/>
              <w:jc w:val="right"/>
              <w:textAlignment w:val="center"/>
              <w:rPr>
                <w:rFonts w:hint="default" w:cs="宋体"/>
                <w:color w:val="000000"/>
                <w:sz w:val="12"/>
                <w:szCs w:val="12"/>
              </w:rPr>
            </w:pPr>
            <w:r>
              <w:rPr>
                <w:rFonts w:cs="宋体"/>
                <w:color w:val="000000"/>
                <w:sz w:val="12"/>
                <w:szCs w:val="12"/>
              </w:rPr>
              <w:t xml:space="preserve">200,000.00 </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12"/>
                <w:szCs w:val="12"/>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12"/>
                <w:szCs w:val="12"/>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12"/>
                <w:szCs w:val="12"/>
              </w:rPr>
            </w:pPr>
          </w:p>
        </w:tc>
      </w:tr>
      <w:tr>
        <w:tblPrEx>
          <w:tblCellMar>
            <w:top w:w="0" w:type="dxa"/>
            <w:left w:w="108" w:type="dxa"/>
            <w:bottom w:w="0" w:type="dxa"/>
            <w:right w:w="108" w:type="dxa"/>
          </w:tblCellMar>
        </w:tblPrEx>
        <w:trPr>
          <w:trHeight w:val="500" w:hRule="atLeast"/>
        </w:trPr>
        <w:tc>
          <w:tcPr>
            <w:tcW w:w="930"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color w:val="000000"/>
                <w:sz w:val="20"/>
                <w:szCs w:val="20"/>
              </w:rPr>
            </w:pPr>
            <w:r>
              <w:rPr>
                <w:rFonts w:cs="宋体"/>
                <w:color w:val="000000"/>
                <w:sz w:val="20"/>
                <w:szCs w:val="20"/>
              </w:rPr>
              <w:t>其中：财政拨款</w:t>
            </w:r>
          </w:p>
        </w:tc>
        <w:tc>
          <w:tcPr>
            <w:tcW w:w="585" w:type="dxa"/>
            <w:tcBorders>
              <w:top w:val="single" w:color="000000" w:sz="4" w:space="0"/>
              <w:left w:val="nil"/>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570"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20"/>
                <w:szCs w:val="20"/>
              </w:rPr>
            </w:pPr>
          </w:p>
        </w:tc>
        <w:tc>
          <w:tcPr>
            <w:tcW w:w="885"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12"/>
                <w:szCs w:val="12"/>
              </w:rPr>
            </w:pPr>
            <w:r>
              <w:rPr>
                <w:rFonts w:cs="宋体"/>
                <w:color w:val="000000"/>
                <w:sz w:val="12"/>
                <w:szCs w:val="12"/>
              </w:rPr>
              <w:t xml:space="preserve">200,000.00 </w:t>
            </w:r>
          </w:p>
        </w:tc>
        <w:tc>
          <w:tcPr>
            <w:tcW w:w="825"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12"/>
                <w:szCs w:val="12"/>
              </w:rPr>
            </w:pPr>
          </w:p>
        </w:tc>
        <w:tc>
          <w:tcPr>
            <w:tcW w:w="900"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12"/>
                <w:szCs w:val="12"/>
              </w:rPr>
            </w:pPr>
            <w:r>
              <w:rPr>
                <w:rFonts w:cs="宋体"/>
                <w:color w:val="000000"/>
                <w:sz w:val="12"/>
                <w:szCs w:val="12"/>
              </w:rPr>
              <w:t xml:space="preserve">200,000.00 </w:t>
            </w:r>
          </w:p>
        </w:tc>
        <w:tc>
          <w:tcPr>
            <w:tcW w:w="705"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12"/>
                <w:szCs w:val="12"/>
              </w:rPr>
            </w:pPr>
          </w:p>
        </w:tc>
        <w:tc>
          <w:tcPr>
            <w:tcW w:w="870"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12"/>
                <w:szCs w:val="12"/>
              </w:rPr>
            </w:pPr>
            <w:r>
              <w:rPr>
                <w:rFonts w:cs="宋体"/>
                <w:color w:val="000000"/>
                <w:sz w:val="12"/>
                <w:szCs w:val="12"/>
              </w:rPr>
              <w:t xml:space="preserve">200,000.00 </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12"/>
                <w:szCs w:val="12"/>
              </w:rPr>
            </w:pPr>
            <w:r>
              <w:rPr>
                <w:rFonts w:cs="宋体"/>
                <w:color w:val="000000"/>
                <w:sz w:val="12"/>
                <w:szCs w:val="12"/>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12"/>
                <w:szCs w:val="12"/>
              </w:rPr>
            </w:pPr>
            <w:r>
              <w:rPr>
                <w:rFonts w:cs="宋体"/>
                <w:color w:val="000000"/>
                <w:sz w:val="12"/>
                <w:szCs w:val="12"/>
              </w:rPr>
              <w:t>10.00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20" w:firstLineChars="100"/>
              <w:jc w:val="right"/>
              <w:textAlignment w:val="center"/>
              <w:rPr>
                <w:rFonts w:hint="default" w:cs="宋体"/>
                <w:color w:val="000000"/>
                <w:sz w:val="12"/>
                <w:szCs w:val="12"/>
              </w:rPr>
            </w:pPr>
            <w:r>
              <w:rPr>
                <w:rFonts w:cs="宋体"/>
                <w:color w:val="000000"/>
                <w:sz w:val="12"/>
                <w:szCs w:val="12"/>
              </w:rPr>
              <w:t xml:space="preserve">10.00 </w:t>
            </w:r>
          </w:p>
        </w:tc>
      </w:tr>
      <w:tr>
        <w:tblPrEx>
          <w:tblCellMar>
            <w:top w:w="0" w:type="dxa"/>
            <w:left w:w="108" w:type="dxa"/>
            <w:bottom w:w="0" w:type="dxa"/>
            <w:right w:w="108" w:type="dxa"/>
          </w:tblCellMar>
        </w:tblPrEx>
        <w:trPr>
          <w:trHeight w:val="500" w:hRule="atLeast"/>
        </w:trPr>
        <w:tc>
          <w:tcPr>
            <w:tcW w:w="930"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color w:val="000000"/>
                <w:sz w:val="20"/>
                <w:szCs w:val="20"/>
              </w:rPr>
            </w:pPr>
            <w:r>
              <w:rPr>
                <w:rFonts w:cs="宋体"/>
                <w:color w:val="000000"/>
                <w:sz w:val="20"/>
                <w:szCs w:val="20"/>
              </w:rPr>
              <w:t>一般公共预算</w:t>
            </w:r>
          </w:p>
        </w:tc>
        <w:tc>
          <w:tcPr>
            <w:tcW w:w="585" w:type="dxa"/>
            <w:tcBorders>
              <w:top w:val="single" w:color="000000" w:sz="4" w:space="0"/>
              <w:left w:val="nil"/>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570"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20"/>
                <w:szCs w:val="20"/>
              </w:rPr>
            </w:pPr>
          </w:p>
        </w:tc>
        <w:tc>
          <w:tcPr>
            <w:tcW w:w="885"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12"/>
                <w:szCs w:val="12"/>
              </w:rPr>
            </w:pPr>
            <w:r>
              <w:rPr>
                <w:rFonts w:cs="宋体"/>
                <w:color w:val="000000"/>
                <w:sz w:val="12"/>
                <w:szCs w:val="12"/>
              </w:rPr>
              <w:t xml:space="preserve">200,000.00 </w:t>
            </w:r>
          </w:p>
        </w:tc>
        <w:tc>
          <w:tcPr>
            <w:tcW w:w="825"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12"/>
                <w:szCs w:val="12"/>
              </w:rPr>
            </w:pPr>
          </w:p>
        </w:tc>
        <w:tc>
          <w:tcPr>
            <w:tcW w:w="900"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12"/>
                <w:szCs w:val="12"/>
              </w:rPr>
            </w:pPr>
            <w:r>
              <w:rPr>
                <w:rFonts w:cs="宋体"/>
                <w:color w:val="000000"/>
                <w:sz w:val="12"/>
                <w:szCs w:val="12"/>
              </w:rPr>
              <w:t xml:space="preserve">200,000.00 </w:t>
            </w:r>
          </w:p>
        </w:tc>
        <w:tc>
          <w:tcPr>
            <w:tcW w:w="705"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12"/>
                <w:szCs w:val="12"/>
              </w:rPr>
            </w:pPr>
          </w:p>
        </w:tc>
        <w:tc>
          <w:tcPr>
            <w:tcW w:w="870"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12"/>
                <w:szCs w:val="12"/>
              </w:rPr>
            </w:pPr>
            <w:r>
              <w:rPr>
                <w:rFonts w:cs="宋体"/>
                <w:color w:val="000000"/>
                <w:sz w:val="12"/>
                <w:szCs w:val="12"/>
              </w:rPr>
              <w:t xml:space="preserve">200,000.00 </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12"/>
                <w:szCs w:val="12"/>
              </w:rPr>
            </w:pPr>
            <w:r>
              <w:rPr>
                <w:rFonts w:cs="宋体"/>
                <w:color w:val="000000"/>
                <w:sz w:val="12"/>
                <w:szCs w:val="12"/>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12"/>
                <w:szCs w:val="12"/>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12"/>
                <w:szCs w:val="12"/>
              </w:rPr>
            </w:pPr>
          </w:p>
        </w:tc>
      </w:tr>
      <w:tr>
        <w:tblPrEx>
          <w:tblCellMar>
            <w:top w:w="0" w:type="dxa"/>
            <w:left w:w="108" w:type="dxa"/>
            <w:bottom w:w="0" w:type="dxa"/>
            <w:right w:w="108" w:type="dxa"/>
          </w:tblCellMar>
        </w:tblPrEx>
        <w:trPr>
          <w:trHeight w:val="360" w:hRule="atLeast"/>
        </w:trPr>
        <w:tc>
          <w:tcPr>
            <w:tcW w:w="82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color w:val="808080"/>
                <w:sz w:val="20"/>
                <w:szCs w:val="20"/>
              </w:rPr>
            </w:pPr>
            <w:r>
              <w:rPr>
                <w:rFonts w:ascii="微软雅黑" w:hAnsi="微软雅黑" w:eastAsia="微软雅黑" w:cs="微软雅黑"/>
                <w:b/>
                <w:bCs/>
                <w:color w:val="808080"/>
                <w:sz w:val="20"/>
                <w:szCs w:val="20"/>
              </w:rPr>
              <w:t>绩效目标</w:t>
            </w:r>
          </w:p>
        </w:tc>
      </w:tr>
      <w:tr>
        <w:tblPrEx>
          <w:tblCellMar>
            <w:top w:w="0" w:type="dxa"/>
            <w:left w:w="108" w:type="dxa"/>
            <w:bottom w:w="0" w:type="dxa"/>
            <w:right w:w="108" w:type="dxa"/>
          </w:tblCellMar>
        </w:tblPrEx>
        <w:trPr>
          <w:trHeight w:val="500" w:hRule="atLeast"/>
        </w:trPr>
        <w:tc>
          <w:tcPr>
            <w:tcW w:w="29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rPr>
              <w:t>年初绩效目标</w:t>
            </w:r>
          </w:p>
        </w:tc>
        <w:tc>
          <w:tcPr>
            <w:tcW w:w="3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rPr>
              <w:t>全年（调整）绩效目标</w:t>
            </w: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rPr>
              <w:t>全年目标实际完成情况</w:t>
            </w:r>
          </w:p>
        </w:tc>
      </w:tr>
      <w:tr>
        <w:tblPrEx>
          <w:tblCellMar>
            <w:top w:w="0" w:type="dxa"/>
            <w:left w:w="108" w:type="dxa"/>
            <w:bottom w:w="0" w:type="dxa"/>
            <w:right w:w="108" w:type="dxa"/>
          </w:tblCellMar>
        </w:tblPrEx>
        <w:trPr>
          <w:trHeight w:val="1600" w:hRule="atLeast"/>
        </w:trPr>
        <w:tc>
          <w:tcPr>
            <w:tcW w:w="2970" w:type="dxa"/>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20"/>
                <w:szCs w:val="20"/>
              </w:rPr>
            </w:pPr>
            <w:r>
              <w:rPr>
                <w:rFonts w:cs="宋体"/>
                <w:color w:val="000000"/>
                <w:sz w:val="20"/>
                <w:szCs w:val="20"/>
              </w:rPr>
              <w:t>出版四期"巫溪文艺”（春、夏、秋、冬季刊），给予创作奖励扶持，开展文艺家协会采风活动。</w:t>
            </w:r>
          </w:p>
        </w:tc>
        <w:tc>
          <w:tcPr>
            <w:tcW w:w="3300" w:type="dxa"/>
            <w:gridSpan w:val="4"/>
            <w:tcBorders>
              <w:top w:val="single" w:color="000000" w:sz="4" w:space="0"/>
              <w:left w:val="single" w:color="000000" w:sz="4" w:space="0"/>
              <w:bottom w:val="single" w:color="000000" w:sz="4" w:space="0"/>
              <w:right w:val="single" w:color="000000" w:sz="4" w:space="0"/>
            </w:tcBorders>
            <w:shd w:val="clear" w:color="auto" w:fill="auto"/>
          </w:tcPr>
          <w:p>
            <w:pPr>
              <w:rPr>
                <w:rFonts w:hint="default" w:cs="宋体"/>
                <w:color w:val="000000"/>
                <w:sz w:val="20"/>
                <w:szCs w:val="20"/>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20"/>
                <w:szCs w:val="20"/>
              </w:rPr>
            </w:pPr>
            <w:r>
              <w:rPr>
                <w:rFonts w:cs="宋体"/>
                <w:color w:val="000000"/>
                <w:sz w:val="20"/>
                <w:szCs w:val="20"/>
              </w:rPr>
              <w:t>出版《巫溪文艺》四期，成功举办渝陕两地乡村振兴美术作品展，原创作品75件。《有事你请讲》获全国“村歌嘹亮”展演“幸福好声音奖”，油画《院坝会》入选第十四届全国美展。</w:t>
            </w:r>
          </w:p>
        </w:tc>
      </w:tr>
      <w:tr>
        <w:tblPrEx>
          <w:tblCellMar>
            <w:top w:w="0" w:type="dxa"/>
            <w:left w:w="108" w:type="dxa"/>
            <w:bottom w:w="0" w:type="dxa"/>
            <w:right w:w="108" w:type="dxa"/>
          </w:tblCellMar>
        </w:tblPrEx>
        <w:trPr>
          <w:trHeight w:val="600" w:hRule="atLeast"/>
        </w:trPr>
        <w:tc>
          <w:tcPr>
            <w:tcW w:w="82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color w:val="808080"/>
                <w:sz w:val="20"/>
                <w:szCs w:val="20"/>
              </w:rPr>
            </w:pPr>
            <w:r>
              <w:rPr>
                <w:rFonts w:ascii="微软雅黑" w:hAnsi="微软雅黑" w:eastAsia="微软雅黑" w:cs="微软雅黑"/>
                <w:b/>
                <w:bCs/>
                <w:color w:val="808080"/>
                <w:sz w:val="20"/>
                <w:szCs w:val="20"/>
              </w:rPr>
              <w:t>绩效指标</w:t>
            </w:r>
          </w:p>
        </w:tc>
      </w:tr>
      <w:tr>
        <w:tblPrEx>
          <w:tblCellMar>
            <w:top w:w="0" w:type="dxa"/>
            <w:left w:w="108" w:type="dxa"/>
            <w:bottom w:w="0" w:type="dxa"/>
            <w:right w:w="108" w:type="dxa"/>
          </w:tblCellMar>
        </w:tblPrEx>
        <w:trPr>
          <w:trHeight w:val="50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rPr>
              <w:t>指标名称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rPr>
              <w:t>计量单位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rPr>
              <w:t>指标性质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rPr>
              <w:t>指标值</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rPr>
              <w:t>全年完成值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rPr>
              <w:t>偏离度（%）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rPr>
              <w:t>得分系数（%）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rPr>
              <w:t>指标权重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rPr>
              <w:t>指标得分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rPr>
              <w:t>是否核心指标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rPr>
              <w:t>说明</w:t>
            </w:r>
          </w:p>
        </w:tc>
      </w:tr>
      <w:tr>
        <w:tblPrEx>
          <w:tblCellMar>
            <w:top w:w="0" w:type="dxa"/>
            <w:left w:w="108" w:type="dxa"/>
            <w:bottom w:w="0" w:type="dxa"/>
            <w:right w:w="108" w:type="dxa"/>
          </w:tblCellMar>
        </w:tblPrEx>
        <w:trPr>
          <w:trHeight w:val="196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rPr>
              <w:t>出版四期"巫溪文艺”（春、夏、秋、冬季刊）。</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0"/>
                <w:szCs w:val="20"/>
              </w:rPr>
            </w:pPr>
            <w:r>
              <w:rPr>
                <w:rFonts w:cs="宋体"/>
                <w:color w:val="000000"/>
                <w:sz w:val="20"/>
                <w:szCs w:val="20"/>
              </w:rPr>
              <w:t>期</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0"/>
                <w:szCs w:val="20"/>
              </w:rPr>
            </w:pPr>
            <w:r>
              <w:rPr>
                <w:rFonts w:cs="宋体"/>
                <w:color w:val="000000"/>
                <w:sz w:val="20"/>
                <w:szCs w:val="20"/>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ight="100" w:firstLine="200" w:firstLineChars="100"/>
              <w:jc w:val="right"/>
              <w:textAlignment w:val="center"/>
              <w:rPr>
                <w:rFonts w:hint="default" w:cs="宋体"/>
                <w:color w:val="000000"/>
                <w:sz w:val="20"/>
                <w:szCs w:val="20"/>
              </w:rPr>
            </w:pPr>
            <w:r>
              <w:rPr>
                <w:rFonts w:cs="宋体"/>
                <w:color w:val="000000"/>
                <w:sz w:val="20"/>
                <w:szCs w:val="20"/>
              </w:rPr>
              <w:t>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ight="100" w:firstLine="200" w:firstLineChars="100"/>
              <w:jc w:val="right"/>
              <w:textAlignment w:val="center"/>
              <w:rPr>
                <w:rFonts w:hint="default" w:cs="宋体"/>
                <w:color w:val="000000"/>
                <w:sz w:val="20"/>
                <w:szCs w:val="20"/>
              </w:rPr>
            </w:pPr>
            <w:r>
              <w:rPr>
                <w:rFonts w:cs="宋体"/>
                <w:color w:val="000000"/>
                <w:sz w:val="20"/>
                <w:szCs w:val="20"/>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ight="100" w:firstLine="200" w:firstLineChars="100"/>
              <w:jc w:val="right"/>
              <w:textAlignment w:val="center"/>
              <w:rPr>
                <w:rFonts w:hint="default" w:cs="宋体"/>
                <w:color w:val="000000"/>
                <w:sz w:val="20"/>
                <w:szCs w:val="20"/>
              </w:rPr>
            </w:pPr>
            <w:r>
              <w:rPr>
                <w:rFonts w:cs="宋体"/>
                <w:color w:val="000000"/>
                <w:sz w:val="20"/>
                <w:szCs w:val="20"/>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rPr>
              <w:t>30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ight="100" w:firstLine="200" w:firstLineChars="100"/>
              <w:jc w:val="right"/>
              <w:textAlignment w:val="center"/>
              <w:rPr>
                <w:rFonts w:hint="default" w:cs="宋体"/>
                <w:color w:val="000000"/>
                <w:sz w:val="20"/>
                <w:szCs w:val="20"/>
              </w:rPr>
            </w:pPr>
            <w:r>
              <w:rPr>
                <w:rFonts w:cs="宋体"/>
                <w:color w:val="000000"/>
                <w:sz w:val="20"/>
                <w:szCs w:val="20"/>
              </w:rPr>
              <w:t>30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rPr>
              <w:t>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r>
      <w:tr>
        <w:tblPrEx>
          <w:tblCellMar>
            <w:top w:w="0" w:type="dxa"/>
            <w:left w:w="108" w:type="dxa"/>
            <w:bottom w:w="0" w:type="dxa"/>
            <w:right w:w="108" w:type="dxa"/>
          </w:tblCellMar>
        </w:tblPrEx>
        <w:trPr>
          <w:trHeight w:val="196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rPr>
              <w:t>文艺家协会采风创作活动</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0"/>
                <w:szCs w:val="20"/>
              </w:rPr>
            </w:pPr>
            <w:r>
              <w:rPr>
                <w:rFonts w:cs="宋体"/>
                <w:color w:val="000000"/>
                <w:sz w:val="20"/>
                <w:szCs w:val="20"/>
              </w:rPr>
              <w:t>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0"/>
                <w:szCs w:val="20"/>
              </w:rPr>
            </w:pPr>
            <w:r>
              <w:rPr>
                <w:rFonts w:cs="宋体"/>
                <w:color w:val="000000"/>
                <w:sz w:val="20"/>
                <w:szCs w:val="20"/>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ight="100" w:firstLine="200" w:firstLineChars="100"/>
              <w:jc w:val="right"/>
              <w:textAlignment w:val="center"/>
              <w:rPr>
                <w:rFonts w:hint="default" w:cs="宋体"/>
                <w:color w:val="000000"/>
                <w:sz w:val="20"/>
                <w:szCs w:val="20"/>
              </w:rPr>
            </w:pPr>
            <w:r>
              <w:rPr>
                <w:rFonts w:cs="宋体"/>
                <w:color w:val="000000"/>
                <w:sz w:val="20"/>
                <w:szCs w:val="20"/>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ight="100" w:firstLine="200" w:firstLineChars="100"/>
              <w:jc w:val="right"/>
              <w:textAlignment w:val="center"/>
              <w:rPr>
                <w:rFonts w:hint="default" w:cs="宋体"/>
                <w:color w:val="000000"/>
                <w:sz w:val="20"/>
                <w:szCs w:val="20"/>
              </w:rPr>
            </w:pPr>
            <w:r>
              <w:rPr>
                <w:rFonts w:cs="宋体"/>
                <w:color w:val="000000"/>
                <w:sz w:val="20"/>
                <w:szCs w:val="20"/>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ight="100" w:firstLine="200" w:firstLineChars="100"/>
              <w:jc w:val="right"/>
              <w:textAlignment w:val="center"/>
              <w:rPr>
                <w:rFonts w:hint="default" w:cs="宋体"/>
                <w:color w:val="000000"/>
                <w:sz w:val="20"/>
                <w:szCs w:val="20"/>
              </w:rPr>
            </w:pPr>
            <w:r>
              <w:rPr>
                <w:rFonts w:cs="宋体"/>
                <w:color w:val="000000"/>
                <w:sz w:val="20"/>
                <w:szCs w:val="20"/>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rPr>
              <w:t>30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rPr>
              <w:t>30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rPr>
              <w:t>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r>
      <w:tr>
        <w:tblPrEx>
          <w:tblCellMar>
            <w:top w:w="0" w:type="dxa"/>
            <w:left w:w="108" w:type="dxa"/>
            <w:bottom w:w="0" w:type="dxa"/>
            <w:right w:w="108" w:type="dxa"/>
          </w:tblCellMar>
        </w:tblPrEx>
        <w:trPr>
          <w:trHeight w:val="196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rPr>
              <w:t>丰富协会活动，提升运行效率，提升文艺创作成果</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0"/>
                <w:szCs w:val="20"/>
              </w:rPr>
            </w:pPr>
            <w:r>
              <w:rPr>
                <w:rFonts w:cs="宋体"/>
                <w:color w:val="000000"/>
                <w:sz w:val="20"/>
                <w:szCs w:val="20"/>
              </w:rPr>
              <w:t>定性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ight="100" w:firstLine="200" w:firstLineChars="100"/>
              <w:jc w:val="right"/>
              <w:textAlignment w:val="center"/>
              <w:rPr>
                <w:rFonts w:hint="default" w:cs="宋体"/>
                <w:color w:val="000000"/>
                <w:sz w:val="20"/>
                <w:szCs w:val="20"/>
              </w:rPr>
            </w:pPr>
            <w:r>
              <w:rPr>
                <w:rFonts w:cs="宋体"/>
                <w:color w:val="000000"/>
                <w:sz w:val="20"/>
                <w:szCs w:val="20"/>
              </w:rPr>
              <w:t>好</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ight="100" w:firstLine="200" w:firstLineChars="100"/>
              <w:jc w:val="right"/>
              <w:textAlignment w:val="center"/>
              <w:rPr>
                <w:rFonts w:hint="default" w:cs="宋体"/>
                <w:color w:val="000000"/>
                <w:sz w:val="20"/>
                <w:szCs w:val="20"/>
              </w:rPr>
            </w:pPr>
            <w:r>
              <w:rPr>
                <w:rFonts w:cs="宋体"/>
                <w:color w:val="000000"/>
                <w:sz w:val="20"/>
                <w:szCs w:val="20"/>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ight="100" w:firstLine="200" w:firstLineChars="100"/>
              <w:jc w:val="right"/>
              <w:textAlignment w:val="center"/>
              <w:rPr>
                <w:rFonts w:hint="default" w:cs="宋体"/>
                <w:color w:val="000000"/>
                <w:sz w:val="20"/>
                <w:szCs w:val="20"/>
              </w:rPr>
            </w:pPr>
            <w:r>
              <w:rPr>
                <w:rFonts w:cs="宋体"/>
                <w:color w:val="000000"/>
                <w:sz w:val="20"/>
                <w:szCs w:val="20"/>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rPr>
              <w:t>20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rPr>
              <w:t>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r>
      <w:tr>
        <w:tblPrEx>
          <w:tblCellMar>
            <w:top w:w="0" w:type="dxa"/>
            <w:left w:w="108" w:type="dxa"/>
            <w:bottom w:w="0" w:type="dxa"/>
            <w:right w:w="108" w:type="dxa"/>
          </w:tblCellMar>
        </w:tblPrEx>
        <w:trPr>
          <w:trHeight w:val="196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rPr>
              <w:t>群众满意度</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0"/>
                <w:szCs w:val="20"/>
              </w:rPr>
            </w:pPr>
            <w:r>
              <w:rPr>
                <w:rFonts w:cs="宋体"/>
                <w:color w:val="000000"/>
                <w:sz w:val="20"/>
                <w:szCs w:val="20"/>
              </w:rPr>
              <w:t>定性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ight="100" w:firstLine="200" w:firstLineChars="100"/>
              <w:jc w:val="right"/>
              <w:textAlignment w:val="center"/>
              <w:rPr>
                <w:rFonts w:hint="default" w:cs="宋体"/>
                <w:color w:val="000000"/>
                <w:sz w:val="20"/>
                <w:szCs w:val="20"/>
              </w:rPr>
            </w:pPr>
            <w:r>
              <w:rPr>
                <w:rFonts w:cs="宋体"/>
                <w:color w:val="000000"/>
                <w:sz w:val="20"/>
                <w:szCs w:val="20"/>
              </w:rPr>
              <w:t>好</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ight="100" w:firstLine="200" w:firstLineChars="100"/>
              <w:jc w:val="right"/>
              <w:textAlignment w:val="center"/>
              <w:rPr>
                <w:rFonts w:hint="default" w:cs="宋体"/>
                <w:color w:val="000000"/>
                <w:sz w:val="20"/>
                <w:szCs w:val="20"/>
              </w:rPr>
            </w:pPr>
            <w:r>
              <w:rPr>
                <w:rFonts w:cs="宋体"/>
                <w:color w:val="000000"/>
                <w:sz w:val="20"/>
                <w:szCs w:val="20"/>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right="100" w:firstLine="200" w:firstLineChars="100"/>
              <w:jc w:val="right"/>
              <w:textAlignment w:val="center"/>
              <w:rPr>
                <w:rFonts w:hint="default" w:cs="宋体"/>
                <w:color w:val="000000"/>
                <w:sz w:val="20"/>
                <w:szCs w:val="20"/>
              </w:rPr>
            </w:pPr>
            <w:r>
              <w:rPr>
                <w:rFonts w:cs="宋体"/>
                <w:color w:val="000000"/>
                <w:sz w:val="20"/>
                <w:szCs w:val="20"/>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rPr>
              <w:t>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r>
    </w:tbl>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left"/>
        <w:textAlignment w:val="auto"/>
        <w:rPr>
          <w:rFonts w:hint="eastAsia" w:ascii="方正楷体_GBK" w:hAnsi="方正楷体_GBK" w:eastAsia="方正楷体_GBK" w:cs="方正楷体_GBK"/>
          <w:b/>
          <w:bCs/>
          <w:kern w:val="0"/>
          <w:sz w:val="32"/>
          <w:szCs w:val="32"/>
          <w:shd w:val="clear" w:fill="FFFFFF"/>
        </w:rPr>
      </w:pPr>
      <w:r>
        <w:rPr>
          <w:rFonts w:hint="eastAsia" w:ascii="方正楷体_GBK" w:hAnsi="方正楷体_GBK" w:eastAsia="方正楷体_GBK" w:cs="方正楷体_GBK"/>
          <w:b/>
          <w:bCs/>
          <w:kern w:val="0"/>
          <w:sz w:val="32"/>
          <w:szCs w:val="32"/>
          <w:shd w:val="clear" w:fill="FFFFFF"/>
        </w:rPr>
        <w:t>（二）部门绩效评价情况</w:t>
      </w:r>
    </w:p>
    <w:p>
      <w:pPr>
        <w:pStyle w:val="13"/>
        <w:keepNext w:val="0"/>
        <w:keepLines w:val="0"/>
        <w:pageBreakBefore w:val="0"/>
        <w:widowControl/>
        <w:kinsoku/>
        <w:wordWrap/>
        <w:overflowPunct/>
        <w:topLinePunct w:val="0"/>
        <w:autoSpaceDE w:val="0"/>
        <w:autoSpaceDN/>
        <w:bidi w:val="0"/>
        <w:adjustRightInd/>
        <w:snapToGrid/>
        <w:spacing w:line="594" w:lineRule="exact"/>
        <w:ind w:left="0" w:leftChars="0" w:firstLine="640" w:firstLineChars="200"/>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我</w:t>
      </w:r>
      <w:r>
        <w:rPr>
          <w:rFonts w:hint="eastAsia" w:ascii="方正仿宋_GBK" w:hAnsi="方正仿宋_GBK" w:eastAsia="方正仿宋_GBK" w:cs="方正仿宋_GBK"/>
          <w:sz w:val="32"/>
          <w:szCs w:val="32"/>
          <w:shd w:val="clear" w:color="auto" w:fill="FFFFFF"/>
          <w:lang w:val="en-US" w:eastAsia="zh-CN"/>
        </w:rPr>
        <w:t>部门</w:t>
      </w:r>
      <w:r>
        <w:rPr>
          <w:rFonts w:ascii="方正仿宋_GBK" w:hAnsi="方正仿宋_GBK" w:eastAsia="方正仿宋_GBK" w:cs="方正仿宋_GBK"/>
          <w:sz w:val="32"/>
          <w:szCs w:val="32"/>
          <w:shd w:val="clear" w:color="auto" w:fill="FFFFFF"/>
        </w:rPr>
        <w:t>未组织开展绩效评价</w:t>
      </w:r>
    </w:p>
    <w:p>
      <w:pPr>
        <w:pStyle w:val="12"/>
        <w:keepNext w:val="0"/>
        <w:keepLines w:val="0"/>
        <w:pageBreakBefore w:val="0"/>
        <w:widowControl/>
        <w:kinsoku/>
        <w:wordWrap/>
        <w:overflowPunct/>
        <w:topLinePunct w:val="0"/>
        <w:autoSpaceDE w:val="0"/>
        <w:autoSpaceDN/>
        <w:bidi w:val="0"/>
        <w:adjustRightInd/>
        <w:snapToGrid/>
        <w:spacing w:after="0" w:afterAutospacing="0" w:line="594" w:lineRule="exact"/>
        <w:ind w:left="0" w:leftChars="0" w:firstLine="643" w:firstLineChars="200"/>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bCs/>
          <w:kern w:val="0"/>
          <w:sz w:val="32"/>
          <w:szCs w:val="32"/>
          <w:shd w:val="clear" w:fill="FFFFFF"/>
          <w:lang w:val="en-US" w:eastAsia="zh-CN" w:bidi="ar"/>
        </w:rPr>
        <w:t>（三）财政绩效评价情况</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w:t>
      </w:r>
      <w:r>
        <w:rPr>
          <w:rFonts w:hint="eastAsia" w:ascii="方正仿宋_GBK" w:hAnsi="方正仿宋_GBK" w:eastAsia="方正仿宋_GBK" w:cs="方正仿宋_GBK"/>
          <w:sz w:val="32"/>
          <w:szCs w:val="32"/>
          <w:shd w:val="clear" w:color="auto" w:fill="FFFFFF"/>
          <w:lang w:val="en-US" w:eastAsia="zh-CN"/>
        </w:rPr>
        <w:t>部门</w:t>
      </w:r>
      <w:r>
        <w:rPr>
          <w:rFonts w:ascii="方正仿宋_GBK" w:hAnsi="方正仿宋_GBK" w:eastAsia="方正仿宋_GBK" w:cs="方正仿宋_GBK"/>
          <w:sz w:val="32"/>
          <w:szCs w:val="32"/>
          <w:shd w:val="clear" w:color="auto" w:fill="FFFFFF"/>
        </w:rPr>
        <w:t>开展绩效评价。</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3" w:firstLineChars="200"/>
        <w:textAlignment w:val="auto"/>
        <w:rPr>
          <w:rFonts w:hint="eastAsia" w:ascii="方正黑体_GBK" w:hAnsi="方正黑体_GBK" w:eastAsia="方正黑体_GBK" w:cs="方正黑体_GBK"/>
          <w:kern w:val="0"/>
          <w:sz w:val="32"/>
          <w:szCs w:val="32"/>
        </w:rPr>
      </w:pPr>
      <w:r>
        <w:rPr>
          <w:rStyle w:val="8"/>
          <w:rFonts w:hint="eastAsia" w:ascii="方正黑体_GBK" w:hAnsi="方正黑体_GBK" w:eastAsia="方正黑体_GBK" w:cs="方正黑体_GBK"/>
          <w:sz w:val="32"/>
          <w:szCs w:val="32"/>
          <w:shd w:val="clear" w:color="auto" w:fill="FFFFFF"/>
          <w:lang w:val="en-US" w:eastAsia="zh-CN" w:bidi="ar-SA"/>
        </w:rPr>
        <w:t>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eastAsia" w:ascii="方正黑体_GBK" w:hAnsi="方正黑体_GBK" w:eastAsia="方正黑体_GBK" w:cs="方正黑体_GBK"/>
          <w:kern w:val="0"/>
          <w:sz w:val="32"/>
          <w:szCs w:val="32"/>
        </w:rPr>
      </w:pPr>
      <w:r>
        <w:rPr>
          <w:rStyle w:val="8"/>
          <w:rFonts w:hint="eastAsia" w:ascii="方正黑体_GBK" w:hAnsi="方正黑体_GBK" w:eastAsia="方正黑体_GBK" w:cs="方正黑体_GBK"/>
          <w:sz w:val="32"/>
          <w:szCs w:val="32"/>
          <w:shd w:val="clear" w:color="auto" w:fill="FFFFFF"/>
          <w:lang w:val="en-US" w:eastAsia="zh-CN" w:bidi="ar-SA"/>
        </w:rPr>
        <w:t>七、决算公开联系方式及信息反馈渠道</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r>
        <w:rPr>
          <w:rFonts w:ascii="方正仿宋_GBK" w:hAnsi="方正仿宋_GBK" w:eastAsia="方正仿宋_GBK" w:cs="方正仿宋_GBK"/>
          <w:sz w:val="32"/>
          <w:szCs w:val="32"/>
        </w:rPr>
        <w:t>刘国芳13896248736</w:t>
      </w:r>
    </w:p>
    <w:p>
      <w:pPr>
        <w:pStyle w:val="9"/>
        <w:autoSpaceDE w:val="0"/>
        <w:spacing w:line="596" w:lineRule="exact"/>
        <w:ind w:firstLine="640"/>
        <w:jc w:val="both"/>
        <w:rPr>
          <w:rStyle w:val="8"/>
          <w:rFonts w:ascii="方正仿宋_GBK" w:hAnsi="方正仿宋_GBK" w:eastAsia="方正仿宋_GBK" w:cs="方正仿宋_GBK"/>
          <w:sz w:val="32"/>
          <w:szCs w:val="32"/>
          <w:shd w:val="clear" w:color="auto" w:fill="FFFF00"/>
        </w:rPr>
        <w:sectPr>
          <w:footerReference r:id="rId3" w:type="default"/>
          <w:pgSz w:w="11915" w:h="16840"/>
          <w:pgMar w:top="1984" w:right="1446" w:bottom="1644" w:left="1446" w:header="851" w:footer="992" w:gutter="0"/>
          <w:paperSrc/>
          <w:pgNumType w:fmt="numberInDash"/>
          <w:cols w:space="0" w:num="1"/>
          <w:rtlGutter w:val="0"/>
          <w:docGrid w:type="lines" w:linePitch="330" w:charSpace="0"/>
        </w:sectPr>
      </w:pPr>
      <w:r>
        <w:rPr>
          <w:rFonts w:hint="eastAsia" w:ascii="方正仿宋_GBK" w:hAnsi="方正仿宋_GBK" w:eastAsia="方正仿宋_GBK" w:cs="方正仿宋_GBK"/>
          <w:color w:val="FF0000"/>
          <w:kern w:val="0"/>
          <w:sz w:val="32"/>
          <w:szCs w:val="32"/>
          <w:shd w:val="clear" w:fill="FFFFFF"/>
        </w:rPr>
        <w:t xml:space="preserve"> </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中国共产党巫溪县委员会宣传部</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1,864.44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1,538.75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100.00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110.37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125.88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39.19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1,964.44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1,964.44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1,964.44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1,964.44</w:t>
            </w:r>
          </w:p>
        </w:tc>
      </w:tr>
    </w:tbl>
    <w:p>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中国共产党巫溪县委员会宣传部</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1,964.44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1,964.44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1,538.75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1,538.75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宣传事务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1,538.75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1,538.75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2013301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308.78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308.78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2013304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宣传管理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2013350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307.07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307.07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2013399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其他宣传事务支出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856.90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856.90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文化旅游体育与传媒支出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文化和旅游</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2070199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其他文化和旅游支出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其他文化旅游体育与传媒支出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2079902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宣传文化发展专项支出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22960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彩票公益金安排的支出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2296004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用于教育事业的彩票公益金支出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中国共产党巫溪县委员会宣传部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1,964.44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831.17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1,133.27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1,538.75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615.85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922.90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宣传事务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1,538.75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615.85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922.90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2013301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308.78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308.78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2013304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宣传管理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2013350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307.07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307.07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2013399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其他宣传事务支出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856.90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856.90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文化旅游体育与传媒支出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文化和旅游</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2070199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其他文化和旅游支出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其他文化旅游体育与传媒支出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2079902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宣传文化发展专项支出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22960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彩票公益金安排的支出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2296004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用于教育事业的彩票公益金支出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中国共产党巫溪县委员会宣传部</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1,864.44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1,538.75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1,538.75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125.88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125.88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39.19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39.19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50.26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50.26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1,964.44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1,964.44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1,864.44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1,964.44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1,964.44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1,864.44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中国共产党巫溪县委员会宣传部</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1,864.44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831.17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1,033.27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1,864.44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831.17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1,033.27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1,538.75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615.85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922.90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1,538.75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615.85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922.90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宣传事务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1,538.75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615.85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922.90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1,538.75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615.85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922.90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308.78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308.78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308.78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308.78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2013304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宣传管理</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2013350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307.07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307.07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307.07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307.07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2013399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其他宣传事务支出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856.90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856.90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856.90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856.90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文化旅游体育与传媒支出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110.37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110.37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110.37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110.37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文化和旅游</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2070199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其他文化和旅游支出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其他文化旅游体育与传媒支出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9.37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9.37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9.37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9.37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2079902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宣传文化发展专项支出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9.37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9.37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9.37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9.37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125.88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125.88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125.88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125.88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125.88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125.88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125.88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125.88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74.03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74.03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74.03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74.03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37.54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37.54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37.54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37.54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39.19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39.19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39.19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39.19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39.19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39.19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39.19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39.19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22.36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22.36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22.36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22.36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16.82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16.82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16.82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16.82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50.26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50.26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50.26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50.26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50.26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50.26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50.26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50.26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50.26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50.26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50.26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50.26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中国共产党巫溪县委员会宣传部</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731.41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85.15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0.16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157.33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7.47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78.97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0.16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102.13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16.59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157.58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74.31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6.76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39.19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62.94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5.61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14.46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0.96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7.56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5.98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19.45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8.21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745.87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85.31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中国共产党巫溪县委员会宣传部</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22960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彩票公益金安排的支出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2296004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用于教育事业的彩票公益金支出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中国共产党巫溪县委员会宣传部</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方正仿宋_GBK" w:hAnsi="方正仿宋_GBK" w:eastAsia="方正仿宋_GBK" w:cs="方正仿宋_GBK"/>
          <w:sz w:val="32"/>
          <w:szCs w:val="32"/>
          <w:lang w:val="en-US" w:eastAsia="zh-CN"/>
        </w:rPr>
        <w:t>本年无国有资本经营收支，故本表无数据。</w:t>
      </w: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中国共产党巫溪县委员会宣传部</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57.38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10.70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46.35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7.20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7.20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180</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1,600</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w:t>
            </w: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24.76</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DF12AF"/>
    <w:multiLevelType w:val="singleLevel"/>
    <w:tmpl w:val="84DF12AF"/>
    <w:lvl w:ilvl="0" w:tentative="0">
      <w:start w:val="4"/>
      <w:numFmt w:val="chineseCounting"/>
      <w:suff w:val="nothing"/>
      <w:lvlText w:val="%1、"/>
      <w:lvlJc w:val="left"/>
      <w:rPr>
        <w:rFonts w:hint="eastAsia" w:ascii="方正楷体_GBK" w:hAnsi="方正楷体_GBK" w:eastAsia="方正楷体_GBK" w:cs="方正楷体_GBK"/>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5"/>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656028"/>
    <w:rsid w:val="0E9478E1"/>
    <w:rsid w:val="0F836721"/>
    <w:rsid w:val="103645A3"/>
    <w:rsid w:val="107B59E5"/>
    <w:rsid w:val="10AA219D"/>
    <w:rsid w:val="11003CB0"/>
    <w:rsid w:val="11124E18"/>
    <w:rsid w:val="111445C7"/>
    <w:rsid w:val="1158083A"/>
    <w:rsid w:val="117C63FE"/>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2A32FEC"/>
    <w:rsid w:val="248C7827"/>
    <w:rsid w:val="24B92327"/>
    <w:rsid w:val="2533755C"/>
    <w:rsid w:val="25E8772F"/>
    <w:rsid w:val="26396DF4"/>
    <w:rsid w:val="266B763B"/>
    <w:rsid w:val="27167136"/>
    <w:rsid w:val="27B23302"/>
    <w:rsid w:val="27D424D7"/>
    <w:rsid w:val="285722C3"/>
    <w:rsid w:val="28BA3146"/>
    <w:rsid w:val="28DC1FF8"/>
    <w:rsid w:val="29310A5F"/>
    <w:rsid w:val="29C37A35"/>
    <w:rsid w:val="2A076083"/>
    <w:rsid w:val="2A306CA5"/>
    <w:rsid w:val="2A73162E"/>
    <w:rsid w:val="2AFA2E94"/>
    <w:rsid w:val="2B167953"/>
    <w:rsid w:val="2B200583"/>
    <w:rsid w:val="2B8209DE"/>
    <w:rsid w:val="2C6762A3"/>
    <w:rsid w:val="2D5F4C37"/>
    <w:rsid w:val="2D8332EB"/>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0B7187"/>
    <w:rsid w:val="411B6CE5"/>
    <w:rsid w:val="412070D7"/>
    <w:rsid w:val="41314E40"/>
    <w:rsid w:val="415C674B"/>
    <w:rsid w:val="426C1EA8"/>
    <w:rsid w:val="42E86A87"/>
    <w:rsid w:val="43136432"/>
    <w:rsid w:val="443A3B12"/>
    <w:rsid w:val="44487B36"/>
    <w:rsid w:val="44EF6BE8"/>
    <w:rsid w:val="455769AF"/>
    <w:rsid w:val="45A30364"/>
    <w:rsid w:val="465B470D"/>
    <w:rsid w:val="469D6AD4"/>
    <w:rsid w:val="46C027C2"/>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2E83EE5"/>
    <w:rsid w:val="53C0244D"/>
    <w:rsid w:val="53DD4D4E"/>
    <w:rsid w:val="53E578CE"/>
    <w:rsid w:val="53EA10F5"/>
    <w:rsid w:val="543B029D"/>
    <w:rsid w:val="54977029"/>
    <w:rsid w:val="54F34913"/>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8C12E2"/>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582172"/>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3">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7711</Words>
  <Characters>21008</Characters>
  <Lines>161</Lines>
  <Paragraphs>45</Paragraphs>
  <TotalTime>29</TotalTime>
  <ScaleCrop>false</ScaleCrop>
  <LinksUpToDate>false</LinksUpToDate>
  <CharactersWithSpaces>21460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2025-09-17T09:03:19Z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C5BD5F0625CB4063A2AF428359372995_13</vt:lpwstr>
  </property>
  <property fmtid="{D5CDD505-2E9C-101B-9397-08002B2CF9AE}" pid="4" name="KSOTemplateDocerSaveRecord">
    <vt:lpwstr>eyJoZGlkIjoiMDU3MWJmYTkyOWUwYmVjYzNjYzA0MjQzM2QyZGU1MzMifQ==</vt:lpwstr>
  </property>
</Properties>
</file>