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E8A4E">
      <w:pPr>
        <w:pStyle w:val="6"/>
        <w:keepNext w:val="0"/>
        <w:keepLines w:val="0"/>
        <w:pageBreakBefore w:val="0"/>
        <w:widowControl/>
        <w:kinsoku/>
        <w:wordWrap/>
        <w:overflowPunct/>
        <w:topLinePunct w:val="0"/>
        <w:autoSpaceDE/>
        <w:autoSpaceDN/>
        <w:bidi w:val="0"/>
        <w:adjustRightInd w:val="0"/>
        <w:snapToGrid w:val="0"/>
        <w:spacing w:before="0" w:beforeAutospacing="0" w:line="4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中国共产党巫溪县委员会政法委员会</w:t>
      </w:r>
    </w:p>
    <w:p w14:paraId="583EFF13">
      <w:pPr>
        <w:pStyle w:val="6"/>
        <w:keepNext w:val="0"/>
        <w:keepLines w:val="0"/>
        <w:pageBreakBefore w:val="0"/>
        <w:widowControl/>
        <w:kinsoku/>
        <w:wordWrap/>
        <w:overflowPunct/>
        <w:topLinePunct w:val="0"/>
        <w:autoSpaceDE/>
        <w:autoSpaceDN/>
        <w:bidi w:val="0"/>
        <w:adjustRightInd w:val="0"/>
        <w:snapToGrid w:val="0"/>
        <w:spacing w:before="0" w:beforeAutospacing="0" w:line="460" w:lineRule="exact"/>
        <w:jc w:val="center"/>
        <w:textAlignment w:val="auto"/>
        <w:rPr>
          <w:rFonts w:hint="eastAsia" w:ascii="Times New Roman" w:hAnsi="Times New Roman" w:eastAsia="方正黑体_GBK" w:cs="方正黑体_GBK"/>
          <w:b/>
          <w:bCs/>
          <w:sz w:val="36"/>
          <w:szCs w:val="36"/>
          <w:shd w:val="clear" w:color="auto" w:fill="FFFFFF"/>
          <w:lang w:val="en-US" w:eastAsia="zh-CN"/>
        </w:rPr>
      </w:pPr>
      <w:r>
        <w:rPr>
          <w:rFonts w:hint="eastAsia" w:ascii="方正小标宋_GBK" w:hAnsi="方正小标宋_GBK" w:eastAsia="方正小标宋_GBK" w:cs="方正小标宋_GBK"/>
          <w:sz w:val="36"/>
          <w:szCs w:val="36"/>
          <w:shd w:val="clear" w:color="auto" w:fill="FFFFFF"/>
        </w:rPr>
        <w:t>2023年度决算公开说明</w:t>
      </w:r>
    </w:p>
    <w:p w14:paraId="74EAF894">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lang w:val="en-US" w:eastAsia="zh-CN"/>
        </w:rPr>
      </w:pPr>
    </w:p>
    <w:p w14:paraId="1B91D154">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rPr>
      </w:pPr>
      <w:r>
        <w:rPr>
          <w:rFonts w:hint="eastAsia" w:ascii="Times New Roman" w:hAnsi="Times New Roman" w:eastAsia="方正黑体_GBK" w:cs="方正黑体_GBK"/>
          <w:b/>
          <w:bCs/>
          <w:sz w:val="32"/>
          <w:szCs w:val="32"/>
          <w:shd w:val="clear" w:color="auto" w:fill="FFFFFF"/>
          <w:lang w:val="en-US" w:eastAsia="zh-CN"/>
        </w:rPr>
        <w:t>一、</w:t>
      </w:r>
      <w:r>
        <w:rPr>
          <w:rFonts w:hint="eastAsia" w:ascii="Times New Roman" w:hAnsi="Times New Roman" w:eastAsia="方正黑体_GBK" w:cs="方正黑体_GBK"/>
          <w:b/>
          <w:bCs/>
          <w:sz w:val="32"/>
          <w:szCs w:val="32"/>
          <w:shd w:val="clear" w:color="auto" w:fill="FFFFFF"/>
        </w:rPr>
        <w:t>部门基本情况</w:t>
      </w:r>
    </w:p>
    <w:p w14:paraId="1A0BA7F1">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（一）职能职责</w:t>
      </w:r>
    </w:p>
    <w:p w14:paraId="747E3171">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根据中央、市委的决策部署和县委的工作要求，对全县政法工作作出全局性部署，并督促贯彻落实；组织、指导县政法各单位干部队伍建设及监督政法各单位开展执法司法活动；协调推进全县社会治安综合治理及反邪防邪工作，全力维护全县社会大局平安稳定。</w:t>
      </w:r>
    </w:p>
    <w:p w14:paraId="4D8CB36A">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（二）机构设置</w:t>
      </w:r>
    </w:p>
    <w:p w14:paraId="46194C2A">
      <w:pPr>
        <w:pStyle w:val="16"/>
        <w:keepNext w:val="0"/>
        <w:keepLines w:val="0"/>
        <w:pageBreakBefore w:val="0"/>
        <w:widowControl w:val="0"/>
        <w:tabs>
          <w:tab w:val="center" w:pos="4153"/>
          <w:tab w:val="left" w:pos="7275"/>
        </w:tabs>
        <w:kinsoku/>
        <w:wordWrap/>
        <w:overflowPunct/>
        <w:topLinePunct w:val="0"/>
        <w:autoSpaceDE/>
        <w:autoSpaceDN/>
        <w:bidi w:val="0"/>
        <w:adjustRightInd w:val="0"/>
        <w:snapToGrid w:val="0"/>
        <w:spacing w:beforeAutospacing="0" w:line="600" w:lineRule="exact"/>
        <w:jc w:val="left"/>
        <w:textAlignment w:val="auto"/>
        <w:rPr>
          <w:rFonts w:hint="eastAsia" w:ascii="Times New Roman" w:hAnsi="Times New Roman" w:eastAsia="方正仿宋_GBK" w:cs="方正仿宋_GBK"/>
          <w:i w:val="0"/>
          <w:caps w:val="0"/>
          <w:color w:val="000000"/>
          <w:spacing w:val="0"/>
          <w:sz w:val="31"/>
          <w:szCs w:val="31"/>
        </w:rPr>
      </w:pPr>
      <w:r>
        <w:rPr>
          <w:rFonts w:hint="eastAsia" w:ascii="Times New Roman" w:hAnsi="Times New Roman" w:eastAsia="方正仿宋_GBK" w:cs="方正仿宋_GBK"/>
          <w:i w:val="0"/>
          <w:caps w:val="0"/>
          <w:color w:val="000000"/>
          <w:spacing w:val="0"/>
          <w:sz w:val="31"/>
          <w:szCs w:val="31"/>
        </w:rPr>
        <w:t>本单位内设办公室、执法监督科、综合治理科、政治安全科、维稳指导科、政治部</w:t>
      </w:r>
      <w:r>
        <w:rPr>
          <w:rFonts w:hint="eastAsia" w:ascii="Times New Roman" w:hAnsi="Times New Roman" w:eastAsia="方正仿宋_GBK" w:cs="方正仿宋_GBK"/>
          <w:i w:val="0"/>
          <w:caps w:val="0"/>
          <w:color w:val="000000"/>
          <w:spacing w:val="0"/>
          <w:sz w:val="31"/>
          <w:szCs w:val="31"/>
          <w:shd w:val="clear" w:fill="FFFFFF"/>
        </w:rPr>
        <w:t>6</w:t>
      </w:r>
      <w:r>
        <w:rPr>
          <w:rFonts w:hint="eastAsia" w:ascii="Times New Roman" w:hAnsi="Times New Roman" w:eastAsia="方正仿宋_GBK" w:cs="方正仿宋_GBK"/>
          <w:i w:val="0"/>
          <w:caps w:val="0"/>
          <w:color w:val="000000"/>
          <w:spacing w:val="0"/>
          <w:sz w:val="31"/>
          <w:szCs w:val="31"/>
        </w:rPr>
        <w:t>个科室</w:t>
      </w:r>
      <w:r>
        <w:rPr>
          <w:rFonts w:hint="eastAsia" w:ascii="Times New Roman" w:hAnsi="Times New Roman" w:eastAsia="方正仿宋_GBK" w:cs="方正仿宋_GBK"/>
          <w:i w:val="0"/>
          <w:caps w:val="0"/>
          <w:color w:val="000000"/>
          <w:spacing w:val="0"/>
          <w:sz w:val="31"/>
          <w:szCs w:val="31"/>
          <w:lang w:eastAsia="zh-CN"/>
        </w:rPr>
        <w:t>，</w:t>
      </w:r>
      <w:r>
        <w:rPr>
          <w:rFonts w:hint="eastAsia" w:ascii="Times New Roman" w:hAnsi="Times New Roman" w:eastAsia="方正仿宋_GBK" w:cs="方正仿宋_GBK"/>
          <w:b w:val="0"/>
          <w:bCs w:val="0"/>
          <w:sz w:val="32"/>
          <w:szCs w:val="32"/>
          <w:lang w:val="en-US" w:eastAsia="zh-CN"/>
        </w:rPr>
        <w:t>代管县法学会。</w:t>
      </w:r>
    </w:p>
    <w:p w14:paraId="3E83E8B4">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lang w:val="en-US" w:eastAsia="zh-CN"/>
        </w:rPr>
      </w:pPr>
      <w:r>
        <w:rPr>
          <w:rFonts w:hint="eastAsia" w:ascii="Times New Roman" w:hAnsi="Times New Roman" w:eastAsia="方正黑体_GBK" w:cs="方正黑体_GBK"/>
          <w:b/>
          <w:bCs/>
          <w:sz w:val="32"/>
          <w:szCs w:val="32"/>
          <w:shd w:val="clear" w:color="auto" w:fill="FFFFFF"/>
          <w:lang w:val="en-US" w:eastAsia="zh-CN"/>
        </w:rPr>
        <w:t>二、部门决算情况说明</w:t>
      </w:r>
    </w:p>
    <w:p w14:paraId="70DDFF18">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（一）收入支出决算总体情况说明。</w:t>
      </w:r>
    </w:p>
    <w:p w14:paraId="27D19D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1"/>
          <w:szCs w:val="31"/>
          <w:shd w:val="clear" w:fill="FFFFFF"/>
        </w:rPr>
      </w:pPr>
      <w:r>
        <w:rPr>
          <w:rStyle w:val="10"/>
          <w:rFonts w:hint="eastAsia"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rPr>
        <w:t>2023年度收入总计690.63万元，支出总计</w:t>
      </w:r>
      <w:r>
        <w:rPr>
          <w:rFonts w:hint="eastAsia" w:ascii="Times New Roman" w:hAnsi="Times New Roman" w:eastAsia="方正仿宋_GBK" w:cs="方正仿宋_GBK"/>
          <w:sz w:val="32"/>
          <w:szCs w:val="32"/>
        </w:rPr>
        <w:t>690.63</w:t>
      </w:r>
      <w:r>
        <w:rPr>
          <w:rFonts w:hint="eastAsia" w:ascii="Times New Roman" w:hAnsi="Times New Roman" w:eastAsia="方正仿宋_GBK" w:cs="方正仿宋_GBK"/>
          <w:sz w:val="32"/>
          <w:szCs w:val="32"/>
          <w:shd w:val="clear" w:color="auto" w:fill="FFFFFF"/>
        </w:rPr>
        <w:t>万元。收支较上年决算数增加73.78万元，增长11.96%，主要原因是</w:t>
      </w:r>
      <w:r>
        <w:rPr>
          <w:rFonts w:hint="eastAsia" w:ascii="Times New Roman" w:hAnsi="Times New Roman" w:eastAsia="方正仿宋_GBK" w:cs="方正仿宋_GBK"/>
          <w:i w:val="0"/>
          <w:caps w:val="0"/>
          <w:color w:val="000000"/>
          <w:spacing w:val="0"/>
          <w:sz w:val="31"/>
          <w:szCs w:val="31"/>
          <w:shd w:val="clear" w:fill="FFFFFF"/>
        </w:rPr>
        <w:t>主要原因是年初结转和结余减少</w:t>
      </w:r>
      <w:r>
        <w:rPr>
          <w:rFonts w:hint="eastAsia" w:ascii="Times New Roman" w:hAnsi="Times New Roman" w:eastAsia="方正仿宋_GBK" w:cs="方正仿宋_GBK"/>
          <w:i w:val="0"/>
          <w:caps w:val="0"/>
          <w:color w:val="000000"/>
          <w:spacing w:val="0"/>
          <w:sz w:val="31"/>
          <w:szCs w:val="31"/>
          <w:shd w:val="clear" w:fill="FFFFFF"/>
          <w:lang w:eastAsia="zh-CN"/>
        </w:rPr>
        <w:t>，</w:t>
      </w:r>
      <w:r>
        <w:rPr>
          <w:rFonts w:hint="eastAsia" w:ascii="Times New Roman" w:hAnsi="Times New Roman" w:eastAsia="方正仿宋_GBK" w:cs="方正仿宋_GBK"/>
          <w:i w:val="0"/>
          <w:caps w:val="0"/>
          <w:color w:val="000000"/>
          <w:spacing w:val="0"/>
          <w:sz w:val="31"/>
          <w:szCs w:val="31"/>
          <w:shd w:val="clear" w:fill="FFFFFF"/>
        </w:rPr>
        <w:t>本年项目资金有所增加；新进4人，人员经费增加。</w:t>
      </w:r>
    </w:p>
    <w:p w14:paraId="72F4FC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5"/>
        <w:textAlignment w:val="auto"/>
        <w:rPr>
          <w:rFonts w:hint="eastAsia" w:ascii="Times New Roman" w:hAnsi="Times New Roman" w:eastAsia="方正仿宋_GBK" w:cs="方正仿宋_GBK"/>
          <w:sz w:val="32"/>
          <w:szCs w:val="32"/>
          <w:shd w:val="clear" w:color="auto" w:fill="FFFFFF"/>
        </w:rPr>
      </w:pPr>
      <w:r>
        <w:rPr>
          <w:rStyle w:val="10"/>
          <w:rFonts w:hint="eastAsia"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rPr>
        <w:t>2023年度收入合计690.63万元，较上年决算数增加80.90万元，增长13.27%，主要原因是本年项目资金有所增加；新进4人，人员经费增加。其中：财政拨款收入</w:t>
      </w:r>
      <w:r>
        <w:rPr>
          <w:rFonts w:hint="eastAsia" w:ascii="Times New Roman" w:hAnsi="Times New Roman" w:eastAsia="方正仿宋_GBK" w:cs="方正仿宋_GBK"/>
          <w:sz w:val="32"/>
          <w:szCs w:val="32"/>
        </w:rPr>
        <w:t>690.63</w:t>
      </w:r>
      <w:r>
        <w:rPr>
          <w:rFonts w:hint="eastAsia"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rPr>
        <w:t>100.00</w:t>
      </w:r>
      <w:r>
        <w:rPr>
          <w:rFonts w:hint="eastAsia" w:ascii="Times New Roman" w:hAnsi="Times New Roman" w:eastAsia="方正仿宋_GBK" w:cs="方正仿宋_GBK"/>
          <w:sz w:val="32"/>
          <w:szCs w:val="32"/>
          <w:shd w:val="clear" w:color="auto" w:fill="FFFFFF"/>
        </w:rPr>
        <w:t>%；事业收入</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万元，占0.00%；经营收入</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万元，占0.00%；其他收入</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万元，占0.00%。此外，使用非财政拨款结余和专用结余</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万元，年初结转和结余</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w:t>
      </w:r>
    </w:p>
    <w:p w14:paraId="7096C731">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rPr>
      </w:pPr>
      <w:r>
        <w:rPr>
          <w:rStyle w:val="10"/>
          <w:rFonts w:hint="eastAsia"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rPr>
        <w:t>2023年度支出合计</w:t>
      </w:r>
      <w:r>
        <w:rPr>
          <w:rFonts w:hint="eastAsia" w:ascii="Times New Roman" w:hAnsi="Times New Roman" w:eastAsia="方正仿宋_GBK" w:cs="方正仿宋_GBK"/>
          <w:sz w:val="32"/>
          <w:szCs w:val="32"/>
        </w:rPr>
        <w:t>690.63</w:t>
      </w:r>
      <w:r>
        <w:rPr>
          <w:rFonts w:hint="eastAsia" w:ascii="Times New Roman" w:hAnsi="Times New Roman" w:eastAsia="方正仿宋_GBK" w:cs="方正仿宋_GBK"/>
          <w:sz w:val="32"/>
          <w:szCs w:val="32"/>
          <w:shd w:val="clear" w:color="auto" w:fill="FFFFFF"/>
        </w:rPr>
        <w:t>万元，较上年决算数增加73.78万元，增长11.96%，主要原因是主要原因是主要原因是本年项目资金有所增加；新进4人，人员经费增加。其中：基本支出</w:t>
      </w:r>
      <w:r>
        <w:rPr>
          <w:rFonts w:hint="eastAsia" w:ascii="Times New Roman" w:hAnsi="Times New Roman" w:eastAsia="方正仿宋_GBK" w:cs="方正仿宋_GBK"/>
          <w:sz w:val="32"/>
          <w:szCs w:val="32"/>
        </w:rPr>
        <w:t>487.23</w:t>
      </w:r>
      <w:r>
        <w:rPr>
          <w:rFonts w:hint="eastAsia" w:ascii="Times New Roman" w:hAnsi="Times New Roman" w:eastAsia="方正仿宋_GBK" w:cs="方正仿宋_GBK"/>
          <w:sz w:val="32"/>
          <w:szCs w:val="32"/>
          <w:shd w:val="clear" w:color="auto" w:fill="FFFFFF"/>
        </w:rPr>
        <w:t>万元，占70.55%；项目支出</w:t>
      </w:r>
      <w:r>
        <w:rPr>
          <w:rFonts w:hint="eastAsia" w:ascii="Times New Roman" w:hAnsi="Times New Roman" w:eastAsia="方正仿宋_GBK" w:cs="方正仿宋_GBK"/>
          <w:sz w:val="32"/>
          <w:szCs w:val="32"/>
        </w:rPr>
        <w:t>203.40</w:t>
      </w:r>
      <w:r>
        <w:rPr>
          <w:rFonts w:hint="eastAsia" w:ascii="Times New Roman" w:hAnsi="Times New Roman" w:eastAsia="方正仿宋_GBK" w:cs="方正仿宋_GBK"/>
          <w:sz w:val="32"/>
          <w:szCs w:val="32"/>
          <w:shd w:val="clear" w:color="auto" w:fill="FFFFFF"/>
        </w:rPr>
        <w:t>万元，占29.45%；经营支出</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万元，占0.00%。此外，结余分配</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w:t>
      </w:r>
    </w:p>
    <w:p w14:paraId="6EEA5D93">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rPr>
        <w:t>2023年度年末结转和结余</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i w:val="0"/>
          <w:caps w:val="0"/>
          <w:color w:val="000000"/>
          <w:spacing w:val="0"/>
          <w:sz w:val="31"/>
          <w:szCs w:val="31"/>
        </w:rPr>
        <w:t>主要原因是202</w:t>
      </w:r>
      <w:r>
        <w:rPr>
          <w:rFonts w:hint="eastAsia" w:ascii="Times New Roman" w:hAnsi="Times New Roman" w:eastAsia="方正仿宋_GBK" w:cs="方正仿宋_GBK"/>
          <w:i w:val="0"/>
          <w:caps w:val="0"/>
          <w:color w:val="000000"/>
          <w:spacing w:val="0"/>
          <w:sz w:val="31"/>
          <w:szCs w:val="31"/>
          <w:lang w:val="en-US" w:eastAsia="zh-CN"/>
        </w:rPr>
        <w:t>3</w:t>
      </w:r>
      <w:r>
        <w:rPr>
          <w:rFonts w:hint="eastAsia" w:ascii="Times New Roman" w:hAnsi="Times New Roman" w:eastAsia="方正仿宋_GBK" w:cs="方正仿宋_GBK"/>
          <w:i w:val="0"/>
          <w:caps w:val="0"/>
          <w:color w:val="000000"/>
          <w:spacing w:val="0"/>
          <w:sz w:val="31"/>
          <w:szCs w:val="31"/>
        </w:rPr>
        <w:t>年无结转和结余资金。</w:t>
      </w:r>
    </w:p>
    <w:p w14:paraId="71C3D0A3">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（二）财政拨款收入支出决算总体情况说明</w:t>
      </w:r>
    </w:p>
    <w:p w14:paraId="3289EC1A">
      <w:pPr>
        <w:pStyle w:val="11"/>
        <w:keepNext w:val="0"/>
        <w:keepLines w:val="0"/>
        <w:pageBreakBefore w:val="0"/>
        <w:kinsoku/>
        <w:wordWrap/>
        <w:overflowPunct/>
        <w:topLinePunct w:val="0"/>
        <w:autoSpaceDE w:val="0"/>
        <w:autoSpaceDN/>
        <w:bidi w:val="0"/>
        <w:spacing w:beforeAutospacing="0" w:line="600" w:lineRule="exact"/>
        <w:ind w:firstLine="643"/>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2023年度财政拨款收、支总计690.63万元。与2022年相比，财政拨款收、支总计各增加73.78万元，增长11.96%。主要原因是年初结转和结余减少，本年项目资金有所增加；新进4人，人员经费增加。</w:t>
      </w:r>
    </w:p>
    <w:p w14:paraId="12BDCA66">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（三）一般公共预算财政拨款收入支出决算情况说明</w:t>
      </w:r>
    </w:p>
    <w:p w14:paraId="195690FF">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rPr>
        <w:t>2023年度一般公共预算财政拨款收入</w:t>
      </w:r>
      <w:r>
        <w:rPr>
          <w:rFonts w:hint="eastAsia" w:ascii="Times New Roman" w:hAnsi="Times New Roman" w:eastAsia="方正仿宋_GBK" w:cs="方正仿宋_GBK"/>
          <w:sz w:val="32"/>
          <w:szCs w:val="32"/>
        </w:rPr>
        <w:t>690.63</w:t>
      </w:r>
      <w:r>
        <w:rPr>
          <w:rFonts w:hint="eastAsia" w:ascii="Times New Roman" w:hAnsi="Times New Roman" w:eastAsia="方正仿宋_GBK" w:cs="方正仿宋_GBK"/>
          <w:sz w:val="32"/>
          <w:szCs w:val="32"/>
          <w:shd w:val="clear" w:color="auto" w:fill="FFFFFF"/>
        </w:rPr>
        <w:t>万元，较上年决算数增加80.90万元，增长13.27%。主要原因是本年项目资金有所增加；新进4人，人员经费增加。较年初预算数减少113.79万元，下降14.15%。主要原因是主要原因是政府性基金项目（公共安全）支出减少。此外，年初财政拨款结转和结余</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w:t>
      </w:r>
    </w:p>
    <w:p w14:paraId="4CB14499">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rPr>
      </w:pPr>
      <w:r>
        <w:rPr>
          <w:rStyle w:val="10"/>
          <w:rFonts w:hint="eastAsia"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rPr>
        <w:t>2023年度一般公共预算财政拨款支出</w:t>
      </w:r>
      <w:r>
        <w:rPr>
          <w:rFonts w:hint="eastAsia" w:ascii="Times New Roman" w:hAnsi="Times New Roman" w:eastAsia="方正仿宋_GBK" w:cs="方正仿宋_GBK"/>
          <w:sz w:val="32"/>
          <w:szCs w:val="32"/>
        </w:rPr>
        <w:t>690.63</w:t>
      </w:r>
      <w:r>
        <w:rPr>
          <w:rFonts w:hint="eastAsia" w:ascii="Times New Roman" w:hAnsi="Times New Roman" w:eastAsia="方正仿宋_GBK" w:cs="方正仿宋_GBK"/>
          <w:sz w:val="32"/>
          <w:szCs w:val="32"/>
          <w:shd w:val="clear" w:color="auto" w:fill="FFFFFF"/>
        </w:rPr>
        <w:t>万元，较上年决算数增加73.78万元，增长11.96%。主要原因是本年项目资金有所增加；新进4人，人员经费增加。较年初预算数减少113.79万元，下降14.15%。主要原因是主要原因是政府性基金项目（公共安全）支出减少。</w:t>
      </w:r>
    </w:p>
    <w:p w14:paraId="55068596">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rPr>
        <w:t>2023年度年末一般公共预算财政拨款结转和结余</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i w:val="0"/>
          <w:caps w:val="0"/>
          <w:color w:val="000000"/>
          <w:spacing w:val="0"/>
          <w:sz w:val="31"/>
          <w:szCs w:val="31"/>
        </w:rPr>
        <w:t>主要原因是202</w:t>
      </w:r>
      <w:r>
        <w:rPr>
          <w:rFonts w:hint="eastAsia" w:ascii="Times New Roman" w:hAnsi="Times New Roman" w:eastAsia="方正仿宋_GBK" w:cs="方正仿宋_GBK"/>
          <w:i w:val="0"/>
          <w:caps w:val="0"/>
          <w:color w:val="000000"/>
          <w:spacing w:val="0"/>
          <w:sz w:val="31"/>
          <w:szCs w:val="31"/>
          <w:lang w:val="en-US" w:eastAsia="zh-CN"/>
        </w:rPr>
        <w:t>3</w:t>
      </w:r>
      <w:r>
        <w:rPr>
          <w:rFonts w:hint="eastAsia" w:ascii="Times New Roman" w:hAnsi="Times New Roman" w:eastAsia="方正仿宋_GBK" w:cs="方正仿宋_GBK"/>
          <w:i w:val="0"/>
          <w:caps w:val="0"/>
          <w:color w:val="000000"/>
          <w:spacing w:val="0"/>
          <w:sz w:val="31"/>
          <w:szCs w:val="31"/>
        </w:rPr>
        <w:t>年无结转和结余资金。</w:t>
      </w:r>
    </w:p>
    <w:p w14:paraId="09EEA56B">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color w:val="FF0000"/>
          <w:sz w:val="32"/>
          <w:szCs w:val="32"/>
          <w:highlight w:val="cyan"/>
          <w:shd w:val="clear" w:color="auto" w:fill="FFFFFF"/>
        </w:rPr>
      </w:pPr>
      <w:r>
        <w:rPr>
          <w:rStyle w:val="10"/>
          <w:rFonts w:hint="eastAsia" w:ascii="Times New Roman" w:hAnsi="Times New Roman" w:eastAsia="方正仿宋_GBK" w:cs="方正仿宋_GBK"/>
          <w:sz w:val="32"/>
          <w:szCs w:val="32"/>
          <w:shd w:val="clear" w:color="auto" w:fill="FFFFFF"/>
        </w:rPr>
        <w:t xml:space="preserve"> 4.比较情况。</w:t>
      </w:r>
      <w:r>
        <w:rPr>
          <w:rFonts w:hint="eastAsia" w:ascii="Times New Roman" w:hAnsi="Times New Roman" w:eastAsia="方正仿宋_GBK" w:cs="方正仿宋_GBK"/>
          <w:sz w:val="32"/>
          <w:szCs w:val="32"/>
          <w:shd w:val="clear" w:color="auto" w:fill="FFFFFF"/>
        </w:rPr>
        <w:t>本部门2023年度一般公共预算财政拨款支出主要用于以下几个方面：</w:t>
      </w:r>
    </w:p>
    <w:p w14:paraId="0EAA3D38">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rPr>
        <w:t>（1）一般公共服务支出</w:t>
      </w:r>
      <w:r>
        <w:rPr>
          <w:rFonts w:hint="eastAsia" w:ascii="Times New Roman" w:hAnsi="Times New Roman" w:eastAsia="方正仿宋_GBK" w:cs="方正仿宋_GBK"/>
          <w:sz w:val="32"/>
          <w:szCs w:val="32"/>
        </w:rPr>
        <w:t>537.16</w:t>
      </w:r>
      <w:r>
        <w:rPr>
          <w:rFonts w:hint="eastAsia"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rPr>
        <w:t>77.78</w:t>
      </w:r>
      <w:r>
        <w:rPr>
          <w:rFonts w:hint="eastAsia" w:ascii="Times New Roman" w:hAnsi="Times New Roman" w:eastAsia="方正仿宋_GBK" w:cs="方正仿宋_GBK"/>
          <w:sz w:val="32"/>
          <w:szCs w:val="32"/>
          <w:shd w:val="clear" w:color="auto" w:fill="FFFFFF"/>
        </w:rPr>
        <w:t>%，较年初预算数减少37.07万元，下降6.46%，主要原因是</w:t>
      </w:r>
      <w:r>
        <w:rPr>
          <w:rFonts w:hint="eastAsia" w:ascii="Times New Roman" w:hAnsi="Times New Roman" w:eastAsia="方正仿宋_GBK" w:cs="方正仿宋_GBK"/>
          <w:sz w:val="32"/>
          <w:szCs w:val="32"/>
          <w:shd w:val="clear" w:color="auto" w:fill="FFFFFF"/>
          <w:lang w:val="en-US" w:eastAsia="zh-CN"/>
        </w:rPr>
        <w:t>政府性基金项目（公共安全）支出减少。</w:t>
      </w:r>
    </w:p>
    <w:p w14:paraId="16BDBAB2">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hint="eastAsia" w:ascii="Times New Roman" w:hAnsi="Times New Roman"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rPr>
        <w:t>100.83</w:t>
      </w:r>
      <w:r>
        <w:rPr>
          <w:rFonts w:hint="eastAsia"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rPr>
        <w:t>14.60</w:t>
      </w:r>
      <w:r>
        <w:rPr>
          <w:rFonts w:hint="eastAsia" w:ascii="Times New Roman" w:hAnsi="Times New Roman" w:eastAsia="方正仿宋_GBK" w:cs="方正仿宋_GBK"/>
          <w:sz w:val="32"/>
          <w:szCs w:val="32"/>
          <w:shd w:val="clear" w:color="auto" w:fill="FFFFFF"/>
        </w:rPr>
        <w:t>%，较年初预算数增加23.83万元，增长30.95%，主要原因是新进4人，</w:t>
      </w:r>
      <w:r>
        <w:rPr>
          <w:rFonts w:hint="eastAsia" w:ascii="Times New Roman" w:hAnsi="Times New Roman" w:eastAsia="方正仿宋_GBK" w:cs="方正仿宋_GBK"/>
          <w:sz w:val="32"/>
          <w:szCs w:val="32"/>
          <w:shd w:val="clear" w:color="auto" w:fill="FFFFFF"/>
          <w:lang w:val="en-US" w:eastAsia="zh-CN"/>
        </w:rPr>
        <w:t>费用</w:t>
      </w:r>
      <w:r>
        <w:rPr>
          <w:rFonts w:hint="eastAsia" w:ascii="Times New Roman" w:hAnsi="Times New Roman" w:eastAsia="方正仿宋_GBK" w:cs="方正仿宋_GBK"/>
          <w:sz w:val="32"/>
          <w:szCs w:val="32"/>
          <w:shd w:val="clear" w:color="auto" w:fill="FFFFFF"/>
        </w:rPr>
        <w:t>增加。</w:t>
      </w:r>
    </w:p>
    <w:p w14:paraId="62A9F063">
      <w:pPr>
        <w:keepNext w:val="0"/>
        <w:keepLines w:val="0"/>
        <w:pageBreakBefore w:val="0"/>
        <w:kinsoku/>
        <w:wordWrap/>
        <w:overflowPunct/>
        <w:topLinePunct w:val="0"/>
        <w:autoSpaceDN/>
        <w:bidi w:val="0"/>
        <w:spacing w:beforeAutospacing="0" w:line="600" w:lineRule="exact"/>
        <w:ind w:firstLine="640" w:firstLineChars="200"/>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rPr>
        <w:t>17.39</w:t>
      </w:r>
      <w:r>
        <w:rPr>
          <w:rFonts w:hint="eastAsia"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rPr>
        <w:t>2.52</w:t>
      </w:r>
      <w:r>
        <w:rPr>
          <w:rFonts w:hint="eastAsia" w:ascii="Times New Roman" w:hAnsi="Times New Roman" w:eastAsia="方正仿宋_GBK" w:cs="方正仿宋_GBK"/>
          <w:sz w:val="32"/>
          <w:szCs w:val="32"/>
          <w:shd w:val="clear" w:color="auto" w:fill="FFFFFF"/>
        </w:rPr>
        <w:t>%，较年初预算数减少0.54万元，下降3.01%，主要原因是人员调进调出，费用减少。</w:t>
      </w:r>
    </w:p>
    <w:p w14:paraId="18AEC9A3">
      <w:pPr>
        <w:keepNext w:val="0"/>
        <w:keepLines w:val="0"/>
        <w:pageBreakBefore w:val="0"/>
        <w:kinsoku/>
        <w:wordWrap/>
        <w:overflowPunct/>
        <w:topLinePunct w:val="0"/>
        <w:autoSpaceDN/>
        <w:bidi w:val="0"/>
        <w:spacing w:beforeAutospacing="0" w:line="600" w:lineRule="exact"/>
        <w:ind w:firstLine="640" w:firstLineChars="200"/>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rPr>
        <w:t>住房保障支出35.25</w:t>
      </w:r>
      <w:r>
        <w:rPr>
          <w:rFonts w:hint="eastAsia"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rPr>
        <w:t>5.10</w:t>
      </w:r>
      <w:r>
        <w:rPr>
          <w:rFonts w:hint="eastAsia" w:ascii="Times New Roman" w:hAnsi="Times New Roman" w:eastAsia="方正仿宋_GBK" w:cs="方正仿宋_GBK"/>
          <w:sz w:val="32"/>
          <w:szCs w:val="32"/>
          <w:shd w:val="clear" w:color="auto" w:fill="FFFFFF"/>
        </w:rPr>
        <w:t>%，较年初预算数</w:t>
      </w:r>
    </w:p>
    <w:p w14:paraId="6CC33446">
      <w:pPr>
        <w:keepNext w:val="0"/>
        <w:keepLines w:val="0"/>
        <w:pageBreakBefore w:val="0"/>
        <w:kinsoku/>
        <w:wordWrap/>
        <w:overflowPunct/>
        <w:topLinePunct w:val="0"/>
        <w:autoSpaceDN/>
        <w:bidi w:val="0"/>
        <w:spacing w:beforeAutospacing="0" w:line="600" w:lineRule="exact"/>
        <w:textAlignment w:val="auto"/>
        <w:rPr>
          <w:rFonts w:hint="eastAsia"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i w:val="0"/>
          <w:caps w:val="0"/>
          <w:color w:val="000000"/>
          <w:spacing w:val="0"/>
          <w:sz w:val="31"/>
          <w:szCs w:val="31"/>
        </w:rPr>
        <w:t>与年初预算数持平。</w:t>
      </w:r>
    </w:p>
    <w:p w14:paraId="5C92504F">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（四）一般公共预算财政拨款基本支出决算情况说明</w:t>
      </w:r>
    </w:p>
    <w:p w14:paraId="0450D5D4">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 2023年度一般公共财政拨款基本支出</w:t>
      </w:r>
      <w:r>
        <w:rPr>
          <w:rFonts w:hint="eastAsia" w:ascii="Times New Roman" w:hAnsi="Times New Roman" w:eastAsia="方正仿宋_GBK" w:cs="方正仿宋_GBK"/>
          <w:sz w:val="32"/>
          <w:szCs w:val="32"/>
        </w:rPr>
        <w:t>487.23</w:t>
      </w:r>
      <w:r>
        <w:rPr>
          <w:rFonts w:hint="eastAsia" w:ascii="Times New Roman" w:hAnsi="Times New Roman"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rPr>
        <w:t>433.37</w:t>
      </w:r>
      <w:r>
        <w:rPr>
          <w:rFonts w:hint="eastAsia" w:ascii="Times New Roman" w:hAnsi="Times New Roman" w:eastAsia="方正仿宋_GBK" w:cs="方正仿宋_GBK"/>
          <w:sz w:val="32"/>
          <w:szCs w:val="32"/>
          <w:shd w:val="clear" w:color="auto" w:fill="FFFFFF"/>
        </w:rPr>
        <w:t>万元，较上年决算数增加81.77万元，增长23.26%，主要原因是主要原因是新进4人，费用增加。</w:t>
      </w:r>
      <w:r>
        <w:rPr>
          <w:rFonts w:hint="eastAsia" w:ascii="Times New Roman" w:hAnsi="Times New Roman" w:eastAsia="方正仿宋_GBK" w:cs="方正仿宋_GBK"/>
          <w:i w:val="0"/>
          <w:caps w:val="0"/>
          <w:color w:val="000000"/>
          <w:spacing w:val="0"/>
          <w:sz w:val="31"/>
          <w:szCs w:val="31"/>
          <w:shd w:val="clear" w:fill="FFFFFF"/>
        </w:rPr>
        <w:t>人员经费用途主要包括基本工资、津贴补贴、奖金、社会保障缴费等。</w:t>
      </w:r>
      <w:r>
        <w:rPr>
          <w:rFonts w:hint="eastAsia" w:ascii="Times New Roman" w:hAnsi="Times New Roman" w:eastAsia="方正仿宋_GBK" w:cs="方正仿宋_GBK"/>
          <w:sz w:val="32"/>
          <w:szCs w:val="32"/>
          <w:shd w:val="clear" w:color="auto" w:fill="FFFFFF"/>
        </w:rPr>
        <w:t>公用经费</w:t>
      </w:r>
      <w:r>
        <w:rPr>
          <w:rFonts w:hint="eastAsia" w:ascii="Times New Roman" w:hAnsi="Times New Roman" w:eastAsia="方正仿宋_GBK" w:cs="方正仿宋_GBK"/>
          <w:sz w:val="32"/>
          <w:szCs w:val="32"/>
        </w:rPr>
        <w:t>53.86</w:t>
      </w:r>
      <w:r>
        <w:rPr>
          <w:rFonts w:hint="eastAsia" w:ascii="Times New Roman" w:hAnsi="Times New Roman" w:eastAsia="方正仿宋_GBK" w:cs="方正仿宋_GBK"/>
          <w:sz w:val="32"/>
          <w:szCs w:val="32"/>
          <w:shd w:val="clear" w:color="auto" w:fill="FFFFFF"/>
        </w:rPr>
        <w:t>万元，较上年决算数增加8.64万元，增长19.11%，</w:t>
      </w:r>
      <w:r>
        <w:rPr>
          <w:rFonts w:hint="eastAsia" w:ascii="Times New Roman" w:hAnsi="Times New Roman" w:eastAsia="方正仿宋_GBK" w:cs="方正仿宋_GBK"/>
          <w:i w:val="0"/>
          <w:caps w:val="0"/>
          <w:color w:val="000000"/>
          <w:spacing w:val="0"/>
          <w:sz w:val="31"/>
          <w:szCs w:val="31"/>
          <w:shd w:val="clear" w:fill="FFFFFF"/>
        </w:rPr>
        <w:t>主要原因是</w:t>
      </w:r>
      <w:r>
        <w:rPr>
          <w:rFonts w:hint="eastAsia" w:ascii="Times New Roman" w:hAnsi="Times New Roman" w:eastAsia="方正仿宋_GBK" w:cs="方正仿宋_GBK"/>
          <w:i w:val="0"/>
          <w:caps w:val="0"/>
          <w:color w:val="000000"/>
          <w:spacing w:val="0"/>
          <w:sz w:val="31"/>
          <w:szCs w:val="31"/>
          <w:shd w:val="clear" w:fill="FFFFFF"/>
          <w:lang w:val="en-US" w:eastAsia="zh-CN"/>
        </w:rPr>
        <w:t>新增打印机、电脑等办公设备，会议增多</w:t>
      </w:r>
      <w:r>
        <w:rPr>
          <w:rFonts w:hint="eastAsia" w:ascii="Times New Roman" w:hAnsi="Times New Roman" w:eastAsia="方正仿宋_GBK" w:cs="方正仿宋_GBK"/>
          <w:i w:val="0"/>
          <w:caps w:val="0"/>
          <w:color w:val="000000"/>
          <w:spacing w:val="0"/>
          <w:sz w:val="31"/>
          <w:szCs w:val="31"/>
          <w:shd w:val="clear" w:fill="FFFFFF"/>
        </w:rPr>
        <w:t>，</w:t>
      </w:r>
      <w:r>
        <w:rPr>
          <w:rFonts w:hint="eastAsia" w:ascii="Times New Roman" w:hAnsi="Times New Roman" w:eastAsia="方正仿宋_GBK" w:cs="方正仿宋_GBK"/>
          <w:i w:val="0"/>
          <w:caps w:val="0"/>
          <w:color w:val="000000"/>
          <w:spacing w:val="0"/>
          <w:sz w:val="31"/>
          <w:szCs w:val="31"/>
          <w:shd w:val="clear" w:fill="FFFFFF"/>
          <w:lang w:val="en-US" w:eastAsia="zh-CN"/>
        </w:rPr>
        <w:t>办公</w:t>
      </w:r>
      <w:r>
        <w:rPr>
          <w:rFonts w:hint="eastAsia" w:ascii="Times New Roman" w:hAnsi="Times New Roman" w:eastAsia="方正仿宋_GBK" w:cs="方正仿宋_GBK"/>
          <w:i w:val="0"/>
          <w:caps w:val="0"/>
          <w:color w:val="000000"/>
          <w:spacing w:val="0"/>
          <w:sz w:val="31"/>
          <w:szCs w:val="31"/>
          <w:shd w:val="clear" w:fill="FFFFFF"/>
        </w:rPr>
        <w:t>费、差旅费有所增加。公用经费用途主要包括办公费、水电费、差旅费、培训费、维修费、公务用车运行维护费等因公产生的支出。</w:t>
      </w:r>
    </w:p>
    <w:p w14:paraId="6105EC67">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（五）政府性基金预算收支决算情况说明</w:t>
      </w:r>
    </w:p>
    <w:p w14:paraId="20390123">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val="en-US" w:eastAsia="zh-CN"/>
        </w:rPr>
        <w:t>部门</w:t>
      </w:r>
      <w:r>
        <w:rPr>
          <w:rFonts w:hint="eastAsia" w:ascii="Times New Roman" w:hAnsi="Times New Roman" w:eastAsia="方正仿宋_GBK" w:cs="方正仿宋_GBK"/>
          <w:sz w:val="32"/>
          <w:szCs w:val="32"/>
          <w:shd w:val="clear" w:color="auto" w:fill="FFFFFF"/>
        </w:rPr>
        <w:t>2023年度无政府性基金预算财政拨款收支。</w:t>
      </w:r>
    </w:p>
    <w:p w14:paraId="40784B3D">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（六）国有资本经营预算财政拨款支出决算情况说明</w:t>
      </w:r>
    </w:p>
    <w:p w14:paraId="6EF838F8">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本部门2023年度无国有资本经营预算财政拨款支出。</w:t>
      </w:r>
    </w:p>
    <w:p w14:paraId="6493A125">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lang w:val="en-US" w:eastAsia="zh-CN"/>
        </w:rPr>
      </w:pPr>
      <w:r>
        <w:rPr>
          <w:rFonts w:hint="eastAsia" w:ascii="Times New Roman" w:hAnsi="Times New Roman" w:eastAsia="方正黑体_GBK" w:cs="方正黑体_GBK"/>
          <w:b/>
          <w:bCs/>
          <w:sz w:val="32"/>
          <w:szCs w:val="32"/>
          <w:shd w:val="clear" w:color="auto" w:fill="FFFFFF"/>
          <w:lang w:val="en-US" w:eastAsia="zh-CN"/>
        </w:rPr>
        <w:t>三、“三公”经费情况说明</w:t>
      </w:r>
    </w:p>
    <w:p w14:paraId="5972E9AB">
      <w:pPr>
        <w:pStyle w:val="11"/>
        <w:keepNext w:val="0"/>
        <w:keepLines w:val="0"/>
        <w:pageBreakBefore w:val="0"/>
        <w:kinsoku/>
        <w:wordWrap/>
        <w:overflowPunct/>
        <w:topLinePunct w:val="0"/>
        <w:autoSpaceDE w:val="0"/>
        <w:autoSpaceDN/>
        <w:bidi w:val="0"/>
        <w:spacing w:beforeAutospacing="0" w:line="600" w:lineRule="exact"/>
        <w:ind w:firstLine="643"/>
        <w:textAlignment w:val="auto"/>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 xml:space="preserve"> </w:t>
      </w:r>
      <w:r>
        <w:rPr>
          <w:rFonts w:hint="eastAsia" w:ascii="Times New Roman" w:hAnsi="Times New Roman" w:eastAsia="方正楷体_GBK" w:cs="方正楷体_GBK"/>
          <w:b/>
          <w:bCs/>
          <w:sz w:val="32"/>
          <w:szCs w:val="32"/>
          <w:shd w:val="clear" w:color="auto" w:fill="FFFFFF"/>
        </w:rPr>
        <w:t>（一）“三公”经费支出总体情况说明</w:t>
      </w:r>
    </w:p>
    <w:p w14:paraId="5D3C3A8A">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2023年度“三公”经费支出共计</w:t>
      </w:r>
      <w:r>
        <w:rPr>
          <w:rFonts w:hint="eastAsia" w:ascii="Times New Roman" w:hAnsi="Times New Roman" w:eastAsia="方正仿宋_GBK" w:cs="方正仿宋_GBK"/>
          <w:sz w:val="32"/>
          <w:szCs w:val="32"/>
        </w:rPr>
        <w:t>1.27</w:t>
      </w:r>
      <w:r>
        <w:rPr>
          <w:rFonts w:hint="eastAsia" w:ascii="Times New Roman" w:hAnsi="Times New Roman" w:eastAsia="方正仿宋_GBK" w:cs="方正仿宋_GBK"/>
          <w:sz w:val="32"/>
          <w:szCs w:val="32"/>
          <w:shd w:val="clear" w:color="auto" w:fill="FFFFFF"/>
        </w:rPr>
        <w:t>万元，较年初预算数减少6.21万元，下降83.02%，</w:t>
      </w:r>
      <w:r>
        <w:rPr>
          <w:rFonts w:hint="eastAsia" w:ascii="Times New Roman" w:hAnsi="Times New Roman" w:eastAsia="方正仿宋_GBK" w:cs="方正仿宋_GBK"/>
          <w:i w:val="0"/>
          <w:caps w:val="0"/>
          <w:color w:val="000000"/>
          <w:spacing w:val="0"/>
          <w:sz w:val="31"/>
          <w:szCs w:val="31"/>
          <w:shd w:val="clear" w:fill="FFFFFF"/>
        </w:rPr>
        <w:t>主要原因是认真贯彻落实中央八项规定精神和</w:t>
      </w:r>
      <w:r>
        <w:rPr>
          <w:rFonts w:hint="eastAsia" w:ascii="Times New Roman" w:hAnsi="Times New Roman" w:eastAsia="方正仿宋_GBK" w:cs="方正仿宋_GBK"/>
          <w:i w:val="0"/>
          <w:caps w:val="0"/>
          <w:color w:val="000000"/>
          <w:spacing w:val="0"/>
          <w:sz w:val="31"/>
          <w:szCs w:val="31"/>
          <w:shd w:val="clear" w:fill="FFFFFF"/>
          <w:lang w:val="en-US" w:eastAsia="zh-CN"/>
        </w:rPr>
        <w:t>积极响应过紧日子</w:t>
      </w:r>
      <w:r>
        <w:rPr>
          <w:rFonts w:hint="eastAsia" w:ascii="Times New Roman" w:hAnsi="Times New Roman" w:eastAsia="方正仿宋_GBK" w:cs="方正仿宋_GBK"/>
          <w:i w:val="0"/>
          <w:caps w:val="0"/>
          <w:color w:val="000000"/>
          <w:spacing w:val="0"/>
          <w:sz w:val="31"/>
          <w:szCs w:val="31"/>
          <w:shd w:val="clear" w:fill="FFFFFF"/>
        </w:rPr>
        <w:t>要求。</w:t>
      </w:r>
      <w:r>
        <w:rPr>
          <w:rFonts w:hint="eastAsia" w:ascii="Times New Roman" w:hAnsi="Times New Roman" w:eastAsia="方正仿宋_GBK" w:cs="方正仿宋_GBK"/>
          <w:sz w:val="32"/>
          <w:szCs w:val="32"/>
          <w:shd w:val="clear" w:color="auto" w:fill="FFFFFF"/>
        </w:rPr>
        <w:t>较上年支出数减少1.53万元，下降54.64%，</w:t>
      </w:r>
      <w:r>
        <w:rPr>
          <w:rFonts w:hint="eastAsia" w:ascii="Times New Roman" w:hAnsi="Times New Roman" w:eastAsia="方正仿宋_GBK" w:cs="方正仿宋_GBK"/>
          <w:i w:val="0"/>
          <w:caps w:val="0"/>
          <w:color w:val="000000"/>
          <w:spacing w:val="0"/>
          <w:sz w:val="31"/>
          <w:szCs w:val="31"/>
          <w:shd w:val="clear" w:fill="FFFFFF"/>
        </w:rPr>
        <w:t>主要原因是202</w:t>
      </w:r>
      <w:r>
        <w:rPr>
          <w:rFonts w:hint="eastAsia" w:ascii="Times New Roman" w:hAnsi="Times New Roman" w:eastAsia="方正仿宋_GBK" w:cs="方正仿宋_GBK"/>
          <w:i w:val="0"/>
          <w:caps w:val="0"/>
          <w:color w:val="000000"/>
          <w:spacing w:val="0"/>
          <w:sz w:val="31"/>
          <w:szCs w:val="31"/>
          <w:shd w:val="clear" w:fill="FFFFFF"/>
          <w:lang w:val="en-US" w:eastAsia="zh-CN"/>
        </w:rPr>
        <w:t>3</w:t>
      </w:r>
      <w:r>
        <w:rPr>
          <w:rFonts w:hint="eastAsia" w:ascii="Times New Roman" w:hAnsi="Times New Roman" w:eastAsia="方正仿宋_GBK" w:cs="方正仿宋_GBK"/>
          <w:i w:val="0"/>
          <w:caps w:val="0"/>
          <w:color w:val="000000"/>
          <w:spacing w:val="0"/>
          <w:sz w:val="31"/>
          <w:szCs w:val="31"/>
          <w:shd w:val="clear" w:fill="FFFFFF"/>
        </w:rPr>
        <w:t>年市级部门督查及工作检查次数</w:t>
      </w:r>
      <w:r>
        <w:rPr>
          <w:rFonts w:hint="eastAsia" w:ascii="Times New Roman" w:hAnsi="Times New Roman" w:eastAsia="方正仿宋_GBK" w:cs="方正仿宋_GBK"/>
          <w:i w:val="0"/>
          <w:caps w:val="0"/>
          <w:color w:val="000000"/>
          <w:spacing w:val="0"/>
          <w:sz w:val="31"/>
          <w:szCs w:val="31"/>
          <w:shd w:val="clear" w:fill="FFFFFF"/>
          <w:lang w:val="en-US" w:eastAsia="zh-CN"/>
        </w:rPr>
        <w:t>减少</w:t>
      </w:r>
      <w:r>
        <w:rPr>
          <w:rFonts w:hint="eastAsia" w:ascii="Times New Roman" w:hAnsi="Times New Roman" w:eastAsia="方正仿宋_GBK" w:cs="方正仿宋_GBK"/>
          <w:i w:val="0"/>
          <w:caps w:val="0"/>
          <w:color w:val="000000"/>
          <w:spacing w:val="0"/>
          <w:sz w:val="31"/>
          <w:szCs w:val="31"/>
          <w:shd w:val="clear" w:fill="FFFFFF"/>
        </w:rPr>
        <w:t>，</w:t>
      </w:r>
      <w:r>
        <w:rPr>
          <w:rFonts w:hint="eastAsia" w:ascii="Times New Roman" w:hAnsi="Times New Roman" w:eastAsia="方正仿宋_GBK" w:cs="方正仿宋_GBK"/>
          <w:i w:val="0"/>
          <w:caps w:val="0"/>
          <w:color w:val="000000"/>
          <w:spacing w:val="0"/>
          <w:sz w:val="31"/>
          <w:szCs w:val="31"/>
          <w:shd w:val="clear" w:fill="FFFFFF"/>
          <w:lang w:val="en-US" w:eastAsia="zh-CN"/>
        </w:rPr>
        <w:t>公务接待费用减少</w:t>
      </w:r>
      <w:r>
        <w:rPr>
          <w:rFonts w:hint="eastAsia" w:ascii="Times New Roman" w:hAnsi="Times New Roman" w:eastAsia="方正仿宋_GBK" w:cs="方正仿宋_GBK"/>
          <w:i w:val="0"/>
          <w:caps w:val="0"/>
          <w:color w:val="000000"/>
          <w:spacing w:val="0"/>
          <w:sz w:val="31"/>
          <w:szCs w:val="31"/>
          <w:shd w:val="clear" w:fill="FFFFFF"/>
        </w:rPr>
        <w:t>。</w:t>
      </w:r>
    </w:p>
    <w:p w14:paraId="496C92CA">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（二）“三公”经费分项支出情况</w:t>
      </w:r>
    </w:p>
    <w:p w14:paraId="3BC2D4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5"/>
        <w:jc w:val="both"/>
        <w:textAlignment w:val="auto"/>
        <w:rPr>
          <w:rFonts w:hint="eastAsia" w:ascii="Times New Roman" w:hAnsi="Times New Roman" w:eastAsia="方正仿宋_GBK" w:cs="方正仿宋_GBK"/>
          <w:i w:val="0"/>
          <w:caps w:val="0"/>
          <w:color w:val="000000"/>
          <w:spacing w:val="0"/>
          <w:sz w:val="31"/>
          <w:szCs w:val="31"/>
          <w:shd w:val="clear" w:fill="FFFFFF"/>
          <w:lang w:val="en-US" w:eastAsia="zh-CN"/>
        </w:rPr>
      </w:pPr>
      <w:r>
        <w:rPr>
          <w:rFonts w:hint="eastAsia" w:ascii="Times New Roman" w:hAnsi="Times New Roman" w:eastAsia="方正仿宋_GBK" w:cs="方正仿宋_GBK"/>
          <w:i w:val="0"/>
          <w:caps w:val="0"/>
          <w:color w:val="000000"/>
          <w:spacing w:val="0"/>
          <w:sz w:val="31"/>
          <w:szCs w:val="31"/>
          <w:shd w:val="clear" w:fill="FFFFFF"/>
        </w:rPr>
        <w:t>本</w:t>
      </w:r>
      <w:r>
        <w:rPr>
          <w:rFonts w:hint="eastAsia" w:ascii="Times New Roman" w:hAnsi="Times New Roman" w:eastAsia="方正仿宋_GBK" w:cs="方正仿宋_GBK"/>
          <w:i w:val="0"/>
          <w:caps w:val="0"/>
          <w:color w:val="000000"/>
          <w:spacing w:val="0"/>
          <w:sz w:val="31"/>
          <w:szCs w:val="31"/>
          <w:shd w:val="clear" w:fill="FFFFFF"/>
          <w:lang w:val="en-US" w:eastAsia="zh-CN"/>
        </w:rPr>
        <w:t>部门</w:t>
      </w:r>
      <w:r>
        <w:rPr>
          <w:rFonts w:hint="eastAsia" w:ascii="Times New Roman" w:hAnsi="Times New Roman" w:eastAsia="方正仿宋_GBK" w:cs="方正仿宋_GBK"/>
          <w:i w:val="0"/>
          <w:caps w:val="0"/>
          <w:color w:val="000000"/>
          <w:spacing w:val="0"/>
          <w:sz w:val="31"/>
          <w:szCs w:val="31"/>
          <w:shd w:val="clear" w:fill="FFFFFF"/>
        </w:rPr>
        <w:t>202</w:t>
      </w:r>
      <w:r>
        <w:rPr>
          <w:rFonts w:hint="eastAsia" w:ascii="Times New Roman" w:hAnsi="Times New Roman" w:eastAsia="方正仿宋_GBK" w:cs="方正仿宋_GBK"/>
          <w:i w:val="0"/>
          <w:caps w:val="0"/>
          <w:color w:val="000000"/>
          <w:spacing w:val="0"/>
          <w:sz w:val="31"/>
          <w:szCs w:val="31"/>
          <w:shd w:val="clear" w:fill="FFFFFF"/>
          <w:lang w:val="en-US" w:eastAsia="zh-CN"/>
        </w:rPr>
        <w:t>3</w:t>
      </w:r>
      <w:r>
        <w:rPr>
          <w:rFonts w:hint="eastAsia" w:ascii="Times New Roman" w:hAnsi="Times New Roman" w:eastAsia="方正仿宋_GBK" w:cs="方正仿宋_GBK"/>
          <w:i w:val="0"/>
          <w:caps w:val="0"/>
          <w:color w:val="000000"/>
          <w:spacing w:val="0"/>
          <w:sz w:val="31"/>
          <w:szCs w:val="31"/>
          <w:shd w:val="clear" w:fill="FFFFFF"/>
        </w:rPr>
        <w:t>年度未发生因公出国（境）支出</w:t>
      </w:r>
      <w:r>
        <w:rPr>
          <w:rFonts w:hint="eastAsia" w:ascii="Times New Roman" w:hAnsi="Times New Roman" w:eastAsia="方正仿宋_GBK" w:cs="方正仿宋_GBK"/>
          <w:i w:val="0"/>
          <w:caps w:val="0"/>
          <w:color w:val="000000"/>
          <w:spacing w:val="0"/>
          <w:sz w:val="31"/>
          <w:szCs w:val="31"/>
          <w:shd w:val="clear" w:fill="FFFFFF"/>
          <w:lang w:val="en-US" w:eastAsia="zh-CN"/>
        </w:rPr>
        <w:t>；</w:t>
      </w:r>
    </w:p>
    <w:p w14:paraId="4F5E17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5"/>
        <w:jc w:val="both"/>
        <w:textAlignment w:val="auto"/>
        <w:rPr>
          <w:rFonts w:hint="eastAsia" w:ascii="Times New Roman" w:hAnsi="Times New Roman" w:eastAsia="方正仿宋_GBK" w:cs="方正仿宋_GBK"/>
          <w:i w:val="0"/>
          <w:caps w:val="0"/>
          <w:color w:val="000000"/>
          <w:spacing w:val="0"/>
          <w:sz w:val="31"/>
          <w:szCs w:val="31"/>
          <w:shd w:val="clear" w:fill="FFFFFF"/>
          <w:lang w:eastAsia="zh-CN"/>
        </w:rPr>
      </w:pPr>
      <w:r>
        <w:rPr>
          <w:rFonts w:hint="eastAsia" w:ascii="Times New Roman" w:hAnsi="Times New Roman" w:eastAsia="方正仿宋_GBK" w:cs="方正仿宋_GBK"/>
          <w:i w:val="0"/>
          <w:caps w:val="0"/>
          <w:color w:val="000000"/>
          <w:spacing w:val="0"/>
          <w:sz w:val="31"/>
          <w:szCs w:val="31"/>
          <w:shd w:val="clear" w:fill="FFFFFF"/>
        </w:rPr>
        <w:t>本</w:t>
      </w:r>
      <w:r>
        <w:rPr>
          <w:rFonts w:hint="eastAsia" w:ascii="Times New Roman" w:hAnsi="Times New Roman" w:eastAsia="方正仿宋_GBK" w:cs="方正仿宋_GBK"/>
          <w:i w:val="0"/>
          <w:caps w:val="0"/>
          <w:color w:val="000000"/>
          <w:spacing w:val="0"/>
          <w:sz w:val="31"/>
          <w:szCs w:val="31"/>
          <w:shd w:val="clear" w:fill="FFFFFF"/>
          <w:lang w:val="en-US" w:eastAsia="zh-CN"/>
        </w:rPr>
        <w:t>部门</w:t>
      </w:r>
      <w:r>
        <w:rPr>
          <w:rFonts w:hint="eastAsia" w:ascii="Times New Roman" w:hAnsi="Times New Roman" w:eastAsia="方正仿宋_GBK" w:cs="方正仿宋_GBK"/>
          <w:i w:val="0"/>
          <w:caps w:val="0"/>
          <w:color w:val="000000"/>
          <w:spacing w:val="0"/>
          <w:sz w:val="31"/>
          <w:szCs w:val="31"/>
          <w:shd w:val="clear" w:fill="FFFFFF"/>
        </w:rPr>
        <w:t>202</w:t>
      </w:r>
      <w:r>
        <w:rPr>
          <w:rFonts w:hint="eastAsia" w:ascii="Times New Roman" w:hAnsi="Times New Roman" w:eastAsia="方正仿宋_GBK" w:cs="方正仿宋_GBK"/>
          <w:i w:val="0"/>
          <w:caps w:val="0"/>
          <w:color w:val="000000"/>
          <w:spacing w:val="0"/>
          <w:sz w:val="31"/>
          <w:szCs w:val="31"/>
          <w:shd w:val="clear" w:fill="FFFFFF"/>
          <w:lang w:val="en-US" w:eastAsia="zh-CN"/>
        </w:rPr>
        <w:t>3</w:t>
      </w:r>
      <w:r>
        <w:rPr>
          <w:rFonts w:hint="eastAsia" w:ascii="Times New Roman" w:hAnsi="Times New Roman" w:eastAsia="方正仿宋_GBK" w:cs="方正仿宋_GBK"/>
          <w:i w:val="0"/>
          <w:caps w:val="0"/>
          <w:color w:val="000000"/>
          <w:spacing w:val="0"/>
          <w:sz w:val="31"/>
          <w:szCs w:val="31"/>
          <w:shd w:val="clear" w:fill="FFFFFF"/>
        </w:rPr>
        <w:t>年度未发生公务车购置费用支出</w:t>
      </w:r>
      <w:r>
        <w:rPr>
          <w:rFonts w:hint="eastAsia" w:ascii="Times New Roman" w:hAnsi="Times New Roman" w:eastAsia="方正仿宋_GBK" w:cs="方正仿宋_GBK"/>
          <w:i w:val="0"/>
          <w:caps w:val="0"/>
          <w:color w:val="000000"/>
          <w:spacing w:val="0"/>
          <w:sz w:val="31"/>
          <w:szCs w:val="31"/>
          <w:shd w:val="clear" w:fill="FFFFFF"/>
          <w:lang w:eastAsia="zh-CN"/>
        </w:rPr>
        <w:t>；</w:t>
      </w:r>
    </w:p>
    <w:p w14:paraId="673DA0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5"/>
        <w:jc w:val="both"/>
        <w:textAlignment w:val="auto"/>
        <w:rPr>
          <w:rFonts w:hint="eastAsia" w:ascii="Times New Roman" w:hAnsi="Times New Roman" w:eastAsia="方正仿宋_GBK" w:cs="方正仿宋_GBK"/>
          <w:i w:val="0"/>
          <w:caps w:val="0"/>
          <w:color w:val="000000"/>
          <w:spacing w:val="0"/>
          <w:sz w:val="31"/>
          <w:szCs w:val="31"/>
          <w:shd w:val="clear" w:fill="FFFFFF"/>
        </w:rPr>
      </w:pPr>
      <w:r>
        <w:rPr>
          <w:rFonts w:hint="eastAsia" w:ascii="Times New Roman" w:hAnsi="Times New Roman" w:eastAsia="方正仿宋_GBK" w:cs="方正仿宋_GBK"/>
          <w:i w:val="0"/>
          <w:caps w:val="0"/>
          <w:color w:val="000000"/>
          <w:spacing w:val="0"/>
          <w:sz w:val="31"/>
          <w:szCs w:val="31"/>
          <w:shd w:val="clear" w:fill="FFFFFF"/>
        </w:rPr>
        <w:t>本</w:t>
      </w:r>
      <w:r>
        <w:rPr>
          <w:rFonts w:hint="eastAsia" w:ascii="Times New Roman" w:hAnsi="Times New Roman" w:eastAsia="方正仿宋_GBK" w:cs="方正仿宋_GBK"/>
          <w:i w:val="0"/>
          <w:caps w:val="0"/>
          <w:color w:val="000000"/>
          <w:spacing w:val="0"/>
          <w:sz w:val="31"/>
          <w:szCs w:val="31"/>
          <w:shd w:val="clear" w:fill="FFFFFF"/>
          <w:lang w:val="en-US" w:eastAsia="zh-CN"/>
        </w:rPr>
        <w:t>部门</w:t>
      </w:r>
      <w:r>
        <w:rPr>
          <w:rFonts w:hint="eastAsia" w:ascii="Times New Roman" w:hAnsi="Times New Roman" w:eastAsia="方正仿宋_GBK" w:cs="方正仿宋_GBK"/>
          <w:i w:val="0"/>
          <w:caps w:val="0"/>
          <w:color w:val="000000"/>
          <w:spacing w:val="0"/>
          <w:sz w:val="31"/>
          <w:szCs w:val="31"/>
          <w:shd w:val="clear" w:fill="FFFFFF"/>
        </w:rPr>
        <w:t>202</w:t>
      </w:r>
      <w:r>
        <w:rPr>
          <w:rFonts w:hint="eastAsia" w:ascii="Times New Roman" w:hAnsi="Times New Roman" w:eastAsia="方正仿宋_GBK" w:cs="方正仿宋_GBK"/>
          <w:i w:val="0"/>
          <w:caps w:val="0"/>
          <w:color w:val="000000"/>
          <w:spacing w:val="0"/>
          <w:sz w:val="31"/>
          <w:szCs w:val="31"/>
          <w:shd w:val="clear" w:fill="FFFFFF"/>
          <w:lang w:val="en-US" w:eastAsia="zh-CN"/>
        </w:rPr>
        <w:t>3</w:t>
      </w:r>
      <w:r>
        <w:rPr>
          <w:rFonts w:hint="eastAsia" w:ascii="Times New Roman" w:hAnsi="Times New Roman" w:eastAsia="方正仿宋_GBK" w:cs="方正仿宋_GBK"/>
          <w:i w:val="0"/>
          <w:caps w:val="0"/>
          <w:color w:val="000000"/>
          <w:spacing w:val="0"/>
          <w:sz w:val="31"/>
          <w:szCs w:val="31"/>
          <w:shd w:val="clear" w:fill="FFFFFF"/>
        </w:rPr>
        <w:t>年度未发生公务车运行维护费支出。</w:t>
      </w:r>
    </w:p>
    <w:p w14:paraId="5E102285">
      <w:pPr>
        <w:pStyle w:val="11"/>
        <w:keepNext w:val="0"/>
        <w:keepLines w:val="0"/>
        <w:pageBreakBefore w:val="0"/>
        <w:kinsoku/>
        <w:wordWrap/>
        <w:overflowPunct/>
        <w:topLinePunct w:val="0"/>
        <w:autoSpaceDE w:val="0"/>
        <w:autoSpaceDN/>
        <w:bidi w:val="0"/>
        <w:spacing w:beforeAutospacing="0" w:line="600" w:lineRule="exact"/>
        <w:ind w:firstLine="643"/>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公务接待费</w:t>
      </w:r>
      <w:r>
        <w:rPr>
          <w:rFonts w:hint="eastAsia" w:ascii="Times New Roman" w:hAnsi="Times New Roman" w:eastAsia="方正仿宋_GBK" w:cs="方正仿宋_GBK"/>
          <w:sz w:val="32"/>
          <w:szCs w:val="32"/>
        </w:rPr>
        <w:t>1.27</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i w:val="0"/>
          <w:caps w:val="0"/>
          <w:color w:val="000000"/>
          <w:spacing w:val="0"/>
          <w:sz w:val="31"/>
          <w:szCs w:val="31"/>
          <w:shd w:val="clear" w:fill="FFFFFF"/>
        </w:rPr>
        <w:t>主要用于接待202</w:t>
      </w:r>
      <w:r>
        <w:rPr>
          <w:rFonts w:hint="eastAsia" w:ascii="Times New Roman" w:hAnsi="Times New Roman" w:eastAsia="方正仿宋_GBK" w:cs="方正仿宋_GBK"/>
          <w:i w:val="0"/>
          <w:caps w:val="0"/>
          <w:color w:val="000000"/>
          <w:spacing w:val="0"/>
          <w:sz w:val="31"/>
          <w:szCs w:val="31"/>
          <w:shd w:val="clear" w:fill="FFFFFF"/>
          <w:lang w:val="en-US" w:eastAsia="zh-CN"/>
        </w:rPr>
        <w:t>3</w:t>
      </w:r>
      <w:r>
        <w:rPr>
          <w:rFonts w:hint="eastAsia" w:ascii="Times New Roman" w:hAnsi="Times New Roman" w:eastAsia="方正仿宋_GBK" w:cs="方正仿宋_GBK"/>
          <w:i w:val="0"/>
          <w:caps w:val="0"/>
          <w:color w:val="000000"/>
          <w:spacing w:val="0"/>
          <w:sz w:val="31"/>
          <w:szCs w:val="31"/>
          <w:shd w:val="clear" w:fill="FFFFFF"/>
        </w:rPr>
        <w:t>年市级部门督查及工作检查</w:t>
      </w:r>
      <w:r>
        <w:rPr>
          <w:rFonts w:hint="eastAsia" w:ascii="Times New Roman" w:hAnsi="Times New Roman" w:eastAsia="方正仿宋_GBK" w:cs="方正仿宋_GBK"/>
          <w:i w:val="0"/>
          <w:caps w:val="0"/>
          <w:color w:val="000000"/>
          <w:spacing w:val="0"/>
          <w:sz w:val="31"/>
          <w:szCs w:val="31"/>
          <w:shd w:val="clear" w:fill="FFFFFF"/>
          <w:lang w:eastAsia="zh-CN"/>
        </w:rPr>
        <w:t>。</w:t>
      </w:r>
      <w:r>
        <w:rPr>
          <w:rFonts w:hint="eastAsia" w:ascii="Times New Roman" w:hAnsi="Times New Roman" w:eastAsia="方正仿宋_GBK" w:cs="方正仿宋_GBK"/>
          <w:sz w:val="32"/>
          <w:szCs w:val="32"/>
          <w:shd w:val="clear" w:color="auto" w:fill="FFFFFF"/>
        </w:rPr>
        <w:t>费用支出较年初预算数减少6.21万元，下降83.02%，</w:t>
      </w:r>
      <w:r>
        <w:rPr>
          <w:rFonts w:hint="eastAsia" w:ascii="Times New Roman" w:hAnsi="Times New Roman" w:eastAsia="方正仿宋_GBK" w:cs="方正仿宋_GBK"/>
          <w:i w:val="0"/>
          <w:caps w:val="0"/>
          <w:color w:val="000000"/>
          <w:spacing w:val="0"/>
          <w:sz w:val="31"/>
          <w:szCs w:val="31"/>
          <w:shd w:val="clear" w:fill="FFFFFF"/>
        </w:rPr>
        <w:t>主要原因是认真贯彻落实中央八项规定精神和</w:t>
      </w:r>
      <w:r>
        <w:rPr>
          <w:rFonts w:hint="eastAsia" w:ascii="Times New Roman" w:hAnsi="Times New Roman" w:eastAsia="方正仿宋_GBK" w:cs="方正仿宋_GBK"/>
          <w:i w:val="0"/>
          <w:caps w:val="0"/>
          <w:color w:val="000000"/>
          <w:spacing w:val="0"/>
          <w:sz w:val="31"/>
          <w:szCs w:val="31"/>
          <w:shd w:val="clear" w:fill="FFFFFF"/>
          <w:lang w:val="en-US" w:eastAsia="zh-CN"/>
        </w:rPr>
        <w:t>积极响应过紧日子</w:t>
      </w:r>
      <w:r>
        <w:rPr>
          <w:rFonts w:hint="eastAsia" w:ascii="Times New Roman" w:hAnsi="Times New Roman" w:eastAsia="方正仿宋_GBK" w:cs="方正仿宋_GBK"/>
          <w:i w:val="0"/>
          <w:caps w:val="0"/>
          <w:color w:val="000000"/>
          <w:spacing w:val="0"/>
          <w:sz w:val="31"/>
          <w:szCs w:val="31"/>
          <w:shd w:val="clear" w:fill="FFFFFF"/>
        </w:rPr>
        <w:t>要求。</w:t>
      </w:r>
      <w:r>
        <w:rPr>
          <w:rFonts w:hint="eastAsia" w:ascii="Times New Roman" w:hAnsi="Times New Roman" w:eastAsia="方正仿宋_GBK" w:cs="方正仿宋_GBK"/>
          <w:sz w:val="32"/>
          <w:szCs w:val="32"/>
          <w:shd w:val="clear" w:color="auto" w:fill="FFFFFF"/>
        </w:rPr>
        <w:t>较上年支出数减少1.53万元，下降54.64%，主要原因是2023年市级部门督查及工作检查次数减少，公务接待费用减少。</w:t>
      </w:r>
    </w:p>
    <w:p w14:paraId="7E8A1CD4">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（三）“三公”经费实物量情况</w:t>
      </w:r>
    </w:p>
    <w:p w14:paraId="259FC3D2">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2023年度本部门因公出国（境）共计</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个团组，</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人；公务用车购置</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辆，公务车保有量为</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辆；国内公务接待</w:t>
      </w:r>
      <w:r>
        <w:rPr>
          <w:rFonts w:hint="eastAsia" w:ascii="Times New Roman" w:hAnsi="Times New Roman" w:eastAsia="方正仿宋_GBK" w:cs="方正仿宋_GBK"/>
          <w:sz w:val="32"/>
          <w:szCs w:val="32"/>
        </w:rPr>
        <w:t>45</w:t>
      </w:r>
      <w:r>
        <w:rPr>
          <w:rFonts w:hint="eastAsia" w:ascii="Times New Roman" w:hAnsi="Times New Roman" w:eastAsia="方正仿宋_GBK" w:cs="方正仿宋_GBK"/>
          <w:sz w:val="32"/>
          <w:szCs w:val="32"/>
          <w:shd w:val="clear" w:color="auto" w:fill="FFFFFF"/>
        </w:rPr>
        <w:t>批次</w:t>
      </w:r>
      <w:r>
        <w:rPr>
          <w:rFonts w:hint="eastAsia" w:ascii="Times New Roman" w:hAnsi="Times New Roman" w:eastAsia="方正仿宋_GBK" w:cs="方正仿宋_GBK"/>
          <w:sz w:val="32"/>
          <w:szCs w:val="32"/>
        </w:rPr>
        <w:t>290</w:t>
      </w:r>
      <w:r>
        <w:rPr>
          <w:rFonts w:hint="eastAsia" w:ascii="Times New Roman" w:hAnsi="Times New Roman" w:eastAsia="方正仿宋_GBK" w:cs="方正仿宋_GBK"/>
          <w:sz w:val="32"/>
          <w:szCs w:val="32"/>
          <w:shd w:val="clear" w:color="auto" w:fill="FFFFFF"/>
        </w:rPr>
        <w:t>人，其中：国内外事接待</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批次，</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人；国（境）外公务接待</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批次，</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人。2023年本部门人均接待费</w:t>
      </w:r>
      <w:r>
        <w:rPr>
          <w:rFonts w:hint="eastAsia" w:ascii="Times New Roman" w:hAnsi="Times New Roman" w:eastAsia="方正仿宋_GBK" w:cs="方正仿宋_GBK"/>
          <w:sz w:val="32"/>
          <w:szCs w:val="32"/>
        </w:rPr>
        <w:t>43.89</w:t>
      </w:r>
      <w:r>
        <w:rPr>
          <w:rFonts w:hint="eastAsia" w:ascii="Times New Roman" w:hAnsi="Times New Roman" w:eastAsia="方正仿宋_GBK" w:cs="方正仿宋_GBK"/>
          <w:sz w:val="32"/>
          <w:szCs w:val="32"/>
          <w:shd w:val="clear" w:color="auto" w:fill="FFFFFF"/>
        </w:rPr>
        <w:t>元，车均购置费</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万元，车均维护费</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万元。</w:t>
      </w:r>
    </w:p>
    <w:p w14:paraId="5DDA23D1">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lang w:val="en-US" w:eastAsia="zh-CN"/>
        </w:rPr>
      </w:pPr>
      <w:r>
        <w:rPr>
          <w:rFonts w:hint="eastAsia" w:ascii="Times New Roman" w:hAnsi="Times New Roman" w:eastAsia="方正黑体_GBK" w:cs="方正黑体_GBK"/>
          <w:b/>
          <w:bCs/>
          <w:sz w:val="32"/>
          <w:szCs w:val="32"/>
          <w:shd w:val="clear" w:color="auto" w:fill="FFFFFF"/>
          <w:lang w:val="en-US" w:eastAsia="zh-CN"/>
        </w:rPr>
        <w:t>四、其他需要说明的事项</w:t>
      </w:r>
    </w:p>
    <w:p w14:paraId="1FFDDA9E">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rPr>
      </w:pPr>
      <w:r>
        <w:rPr>
          <w:rFonts w:hint="eastAsia" w:ascii="Times New Roman" w:hAnsi="Times New Roman" w:eastAsia="方正黑体_GBK" w:cs="方正黑体_GBK"/>
          <w:b/>
          <w:bCs/>
          <w:sz w:val="32"/>
          <w:szCs w:val="32"/>
          <w:shd w:val="clear" w:color="auto" w:fill="FFFFFF"/>
        </w:rPr>
        <w:t> </w:t>
      </w:r>
      <w:r>
        <w:rPr>
          <w:rFonts w:hint="eastAsia" w:ascii="Times New Roman" w:hAnsi="Times New Roman" w:eastAsia="方正楷体_GBK" w:cs="方正楷体_GBK"/>
          <w:b/>
          <w:bCs/>
          <w:sz w:val="32"/>
          <w:szCs w:val="32"/>
          <w:shd w:val="clear" w:color="auto" w:fill="FFFFFF"/>
        </w:rPr>
        <w:t>（一）财政拨款会议费和培训费情况说明</w:t>
      </w:r>
    </w:p>
    <w:p w14:paraId="22114934">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本年度会议费支出</w:t>
      </w:r>
      <w:r>
        <w:rPr>
          <w:rFonts w:hint="eastAsia" w:ascii="Times New Roman" w:hAnsi="Times New Roman" w:eastAsia="方正仿宋_GBK" w:cs="方正仿宋_GBK"/>
          <w:sz w:val="32"/>
          <w:szCs w:val="32"/>
        </w:rPr>
        <w:t>18.07</w:t>
      </w:r>
      <w:r>
        <w:rPr>
          <w:rFonts w:hint="eastAsia" w:ascii="Times New Roman" w:hAnsi="Times New Roman" w:eastAsia="方正仿宋_GBK" w:cs="方正仿宋_GBK"/>
          <w:sz w:val="32"/>
          <w:szCs w:val="32"/>
          <w:shd w:val="clear" w:color="auto" w:fill="FFFFFF"/>
        </w:rPr>
        <w:t>万元，较上年决算数增加12.11万元，增长203.19%，主要原因是</w:t>
      </w:r>
      <w:r>
        <w:rPr>
          <w:rFonts w:hint="eastAsia" w:ascii="Times New Roman" w:hAnsi="Times New Roman" w:eastAsia="方正仿宋_GBK" w:cs="方正仿宋_GBK"/>
          <w:sz w:val="32"/>
          <w:szCs w:val="32"/>
          <w:shd w:val="clear" w:color="auto" w:fill="FFFFFF"/>
          <w:lang w:val="en-US" w:eastAsia="zh-CN"/>
        </w:rPr>
        <w:t xml:space="preserve">本年度线下会议次数增多，会议费增加 </w:t>
      </w:r>
      <w:r>
        <w:rPr>
          <w:rFonts w:hint="eastAsia" w:ascii="Times New Roman" w:hAnsi="Times New Roman" w:eastAsia="方正仿宋_GBK" w:cs="方正仿宋_GBK"/>
          <w:sz w:val="32"/>
          <w:szCs w:val="32"/>
          <w:shd w:val="clear" w:color="auto" w:fill="FFFFFF"/>
        </w:rPr>
        <w:t>。本年度培训费支出</w:t>
      </w:r>
      <w:r>
        <w:rPr>
          <w:rFonts w:hint="eastAsia" w:ascii="Times New Roman" w:hAnsi="Times New Roman" w:eastAsia="方正仿宋_GBK" w:cs="方正仿宋_GBK"/>
          <w:sz w:val="32"/>
          <w:szCs w:val="32"/>
        </w:rPr>
        <w:t>24.29</w:t>
      </w:r>
      <w:r>
        <w:rPr>
          <w:rFonts w:hint="eastAsia" w:ascii="Times New Roman" w:hAnsi="Times New Roman" w:eastAsia="方正仿宋_GBK" w:cs="方正仿宋_GBK"/>
          <w:sz w:val="32"/>
          <w:szCs w:val="32"/>
          <w:shd w:val="clear" w:color="auto" w:fill="FFFFFF"/>
        </w:rPr>
        <w:t>万元，较上年决算数增加24.29万元，增长100.00%主要原因202</w:t>
      </w:r>
      <w:r>
        <w:rPr>
          <w:rFonts w:hint="eastAsia" w:ascii="Times New Roman" w:hAnsi="Times New Roman" w:eastAsia="方正仿宋_GBK" w:cs="方正仿宋_GBK"/>
          <w:sz w:val="32"/>
          <w:szCs w:val="32"/>
          <w:shd w:val="clear" w:color="auto" w:fill="FFFFFF"/>
          <w:lang w:val="en-US" w:eastAsia="zh-CN"/>
        </w:rPr>
        <w:t>3</w:t>
      </w:r>
      <w:bookmarkStart w:id="0" w:name="_GoBack"/>
      <w:bookmarkEnd w:id="0"/>
      <w:r>
        <w:rPr>
          <w:rFonts w:hint="eastAsia"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val="en-US" w:eastAsia="zh-CN"/>
        </w:rPr>
        <w:t>部门</w:t>
      </w:r>
      <w:r>
        <w:rPr>
          <w:rFonts w:hint="eastAsia" w:ascii="Times New Roman" w:hAnsi="Times New Roman" w:eastAsia="方正仿宋_GBK" w:cs="方正仿宋_GBK"/>
          <w:sz w:val="32"/>
          <w:szCs w:val="32"/>
          <w:shd w:val="clear" w:color="auto" w:fill="FFFFFF"/>
        </w:rPr>
        <w:t>业务培训</w:t>
      </w:r>
      <w:r>
        <w:rPr>
          <w:rFonts w:hint="eastAsia" w:ascii="Times New Roman" w:hAnsi="Times New Roman" w:eastAsia="方正仿宋_GBK" w:cs="方正仿宋_GBK"/>
          <w:sz w:val="32"/>
          <w:szCs w:val="32"/>
          <w:shd w:val="clear" w:color="auto" w:fill="FFFFFF"/>
          <w:lang w:val="en-US" w:eastAsia="zh-CN"/>
        </w:rPr>
        <w:t>次数增多，培训会增加</w:t>
      </w:r>
      <w:r>
        <w:rPr>
          <w:rFonts w:hint="eastAsia" w:ascii="Times New Roman" w:hAnsi="Times New Roman" w:eastAsia="方正仿宋_GBK" w:cs="方正仿宋_GBK"/>
          <w:sz w:val="32"/>
          <w:szCs w:val="32"/>
          <w:shd w:val="clear" w:color="auto" w:fill="FFFFFF"/>
        </w:rPr>
        <w:t>。</w:t>
      </w:r>
    </w:p>
    <w:p w14:paraId="3087DB17">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（二）机关运行经费情况说明</w:t>
      </w:r>
    </w:p>
    <w:p w14:paraId="490E20AF">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2023年度本部门机关运行经费支出</w:t>
      </w:r>
      <w:r>
        <w:rPr>
          <w:rFonts w:hint="eastAsia" w:ascii="Times New Roman" w:hAnsi="Times New Roman" w:eastAsia="方正仿宋_GBK" w:cs="方正仿宋_GBK"/>
          <w:sz w:val="32"/>
          <w:szCs w:val="32"/>
        </w:rPr>
        <w:t>53.86</w:t>
      </w:r>
      <w:r>
        <w:rPr>
          <w:rFonts w:hint="eastAsia"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i w:val="0"/>
          <w:caps w:val="0"/>
          <w:color w:val="000000"/>
          <w:spacing w:val="0"/>
          <w:sz w:val="31"/>
          <w:szCs w:val="31"/>
          <w:shd w:val="clear" w:fill="FFFFFF"/>
        </w:rPr>
        <w:t>主要用于开支办公费、印刷费、水电费、邮电费、差旅费、会议费、培训费、交通费等。</w:t>
      </w:r>
      <w:r>
        <w:rPr>
          <w:rFonts w:hint="eastAsia" w:ascii="Times New Roman" w:hAnsi="Times New Roman" w:eastAsia="方正仿宋_GBK" w:cs="方正仿宋_GBK"/>
          <w:sz w:val="32"/>
          <w:szCs w:val="32"/>
          <w:shd w:val="clear" w:color="auto" w:fill="FFFFFF"/>
        </w:rPr>
        <w:t>机关运行经费较上年支出数增加8.64万元，增长19.11%，</w:t>
      </w:r>
      <w:r>
        <w:rPr>
          <w:rFonts w:hint="eastAsia" w:ascii="Times New Roman" w:hAnsi="Times New Roman" w:eastAsia="方正仿宋_GBK" w:cs="方正仿宋_GBK"/>
          <w:i w:val="0"/>
          <w:caps w:val="0"/>
          <w:color w:val="000000"/>
          <w:spacing w:val="0"/>
          <w:sz w:val="31"/>
          <w:szCs w:val="31"/>
          <w:shd w:val="clear" w:fill="FFFFFF"/>
        </w:rPr>
        <w:t>主要原因是</w:t>
      </w:r>
      <w:r>
        <w:rPr>
          <w:rFonts w:hint="eastAsia" w:ascii="Times New Roman" w:hAnsi="Times New Roman" w:eastAsia="方正仿宋_GBK" w:cs="方正仿宋_GBK"/>
          <w:i w:val="0"/>
          <w:caps w:val="0"/>
          <w:color w:val="000000"/>
          <w:spacing w:val="0"/>
          <w:sz w:val="31"/>
          <w:szCs w:val="31"/>
          <w:shd w:val="clear" w:fill="FFFFFF"/>
          <w:lang w:val="en-US" w:eastAsia="zh-CN"/>
        </w:rPr>
        <w:t>新增打印机、电脑等办公设备，会议增多</w:t>
      </w:r>
      <w:r>
        <w:rPr>
          <w:rFonts w:hint="eastAsia" w:ascii="Times New Roman" w:hAnsi="Times New Roman" w:eastAsia="方正仿宋_GBK" w:cs="方正仿宋_GBK"/>
          <w:i w:val="0"/>
          <w:caps w:val="0"/>
          <w:color w:val="000000"/>
          <w:spacing w:val="0"/>
          <w:sz w:val="31"/>
          <w:szCs w:val="31"/>
          <w:shd w:val="clear" w:fill="FFFFFF"/>
        </w:rPr>
        <w:t>，</w:t>
      </w:r>
      <w:r>
        <w:rPr>
          <w:rFonts w:hint="eastAsia" w:ascii="Times New Roman" w:hAnsi="Times New Roman" w:eastAsia="方正仿宋_GBK" w:cs="方正仿宋_GBK"/>
          <w:i w:val="0"/>
          <w:caps w:val="0"/>
          <w:color w:val="000000"/>
          <w:spacing w:val="0"/>
          <w:sz w:val="31"/>
          <w:szCs w:val="31"/>
          <w:shd w:val="clear" w:fill="FFFFFF"/>
          <w:lang w:val="en-US" w:eastAsia="zh-CN"/>
        </w:rPr>
        <w:t>办公</w:t>
      </w:r>
      <w:r>
        <w:rPr>
          <w:rFonts w:hint="eastAsia" w:ascii="Times New Roman" w:hAnsi="Times New Roman" w:eastAsia="方正仿宋_GBK" w:cs="方正仿宋_GBK"/>
          <w:i w:val="0"/>
          <w:caps w:val="0"/>
          <w:color w:val="000000"/>
          <w:spacing w:val="0"/>
          <w:sz w:val="31"/>
          <w:szCs w:val="31"/>
          <w:shd w:val="clear" w:fill="FFFFFF"/>
        </w:rPr>
        <w:t>费、差旅费有所增加。</w:t>
      </w:r>
    </w:p>
    <w:p w14:paraId="67F51EDD">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（三）国有资产占用情况说明</w:t>
      </w:r>
    </w:p>
    <w:p w14:paraId="0AEAE134">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rPr>
        <w:t>截至2023年12月31日，本部门共有车辆</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辆，其中，副部（省）级及以上领导用车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辆、主要负责人用车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辆、机要通信用车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辆、应急保障用车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辆、执法执勤用车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辆，特种专业技术用车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辆，离退休干部用车</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辆。单价100万元（含）以上专用设备</w:t>
      </w:r>
      <w:r>
        <w:rPr>
          <w:rFonts w:hint="eastAsia" w:ascii="Times New Roman" w:hAnsi="Times New Roman" w:eastAsia="方正仿宋_GBK" w:cs="方正仿宋_GBK"/>
          <w:sz w:val="32"/>
          <w:szCs w:val="32"/>
        </w:rPr>
        <w:t>0</w:t>
      </w:r>
      <w:r>
        <w:rPr>
          <w:rFonts w:hint="eastAsia" w:ascii="Times New Roman" w:hAnsi="Times New Roman" w:eastAsia="方正仿宋_GBK" w:cs="方正仿宋_GBK"/>
          <w:sz w:val="32"/>
          <w:szCs w:val="32"/>
          <w:shd w:val="clear" w:color="auto" w:fill="FFFFFF"/>
        </w:rPr>
        <w:t>台（套）。</w:t>
      </w:r>
    </w:p>
    <w:p w14:paraId="63556770">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（四）政府采购支出情况说明</w:t>
      </w:r>
    </w:p>
    <w:p w14:paraId="4F1CA4EC">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rPr>
        <w:t>2023年度本部门政府采购支出总额</w:t>
      </w:r>
      <w:r>
        <w:rPr>
          <w:rFonts w:hint="eastAsia" w:ascii="Times New Roman" w:hAnsi="Times New Roman" w:eastAsia="方正仿宋_GBK" w:cs="方正仿宋_GBK"/>
          <w:sz w:val="32"/>
          <w:szCs w:val="32"/>
        </w:rPr>
        <w:t>13.13</w:t>
      </w:r>
      <w:r>
        <w:rPr>
          <w:rFonts w:hint="eastAsia" w:ascii="Times New Roman" w:hAnsi="Times New Roman" w:eastAsia="方正仿宋_GBK" w:cs="方正仿宋_GBK"/>
          <w:sz w:val="32"/>
          <w:szCs w:val="32"/>
          <w:shd w:val="clear" w:color="auto" w:fill="FFFFFF"/>
        </w:rPr>
        <w:t>万元，其中：政府采购货物支出</w:t>
      </w:r>
      <w:r>
        <w:rPr>
          <w:rFonts w:hint="eastAsia" w:ascii="Times New Roman" w:hAnsi="Times New Roman" w:eastAsia="方正仿宋_GBK" w:cs="方正仿宋_GBK"/>
          <w:sz w:val="32"/>
          <w:szCs w:val="32"/>
        </w:rPr>
        <w:t>13.13</w:t>
      </w:r>
      <w:r>
        <w:rPr>
          <w:rFonts w:hint="eastAsia" w:ascii="Times New Roman" w:hAnsi="Times New Roman" w:eastAsia="方正仿宋_GBK" w:cs="方正仿宋_GBK"/>
          <w:sz w:val="32"/>
          <w:szCs w:val="32"/>
          <w:shd w:val="clear" w:color="auto" w:fill="FFFFFF"/>
        </w:rPr>
        <w:t>万元、政府采购工程支出</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万元、政府采购服务支出</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万元。授予中小企业合同金额</w:t>
      </w:r>
      <w:r>
        <w:rPr>
          <w:rFonts w:hint="eastAsia" w:ascii="Times New Roman" w:hAnsi="Times New Roman" w:eastAsia="方正仿宋_GBK" w:cs="方正仿宋_GBK"/>
          <w:sz w:val="32"/>
          <w:szCs w:val="32"/>
        </w:rPr>
        <w:t>13.13万</w:t>
      </w:r>
      <w:r>
        <w:rPr>
          <w:rFonts w:hint="eastAsia" w:ascii="Times New Roman" w:hAnsi="Times New Roman" w:eastAsia="方正仿宋_GBK" w:cs="方正仿宋_GBK"/>
          <w:sz w:val="32"/>
          <w:szCs w:val="32"/>
          <w:shd w:val="clear" w:color="auto" w:fill="FFFFFF"/>
        </w:rPr>
        <w:t>元，占政府采购支出总额的</w:t>
      </w:r>
      <w:r>
        <w:rPr>
          <w:rFonts w:hint="eastAsia" w:ascii="Times New Roman" w:hAnsi="Times New Roman" w:eastAsia="方正仿宋_GBK" w:cs="方正仿宋_GBK"/>
          <w:sz w:val="32"/>
          <w:szCs w:val="32"/>
        </w:rPr>
        <w:t>100.00</w:t>
      </w:r>
      <w:r>
        <w:rPr>
          <w:rFonts w:hint="eastAsia" w:ascii="Times New Roman" w:hAnsi="Times New Roman" w:eastAsia="方正仿宋_GBK" w:cs="方正仿宋_GBK"/>
          <w:sz w:val="32"/>
          <w:szCs w:val="32"/>
          <w:shd w:val="clear" w:color="auto" w:fill="FFFFFF"/>
        </w:rPr>
        <w:t>%，其中：授予小微企业合同金额</w:t>
      </w:r>
      <w:r>
        <w:rPr>
          <w:rFonts w:hint="eastAsia" w:ascii="Times New Roman" w:hAnsi="Times New Roman" w:eastAsia="方正仿宋_GBK" w:cs="方正仿宋_GBK"/>
          <w:sz w:val="32"/>
          <w:szCs w:val="32"/>
        </w:rPr>
        <w:t>13.13</w:t>
      </w:r>
      <w:r>
        <w:rPr>
          <w:rFonts w:hint="eastAsia" w:ascii="Times New Roman" w:hAnsi="Times New Roman" w:eastAsia="方正仿宋_GBK" w:cs="方正仿宋_GBK"/>
          <w:sz w:val="32"/>
          <w:szCs w:val="32"/>
          <w:shd w:val="clear" w:color="auto" w:fill="FFFFFF"/>
        </w:rPr>
        <w:t>万元，占政府采购支出总额的</w:t>
      </w:r>
      <w:r>
        <w:rPr>
          <w:rFonts w:hint="eastAsia" w:ascii="Times New Roman" w:hAnsi="Times New Roman" w:eastAsia="方正仿宋_GBK" w:cs="方正仿宋_GBK"/>
          <w:sz w:val="32"/>
          <w:szCs w:val="32"/>
        </w:rPr>
        <w:t>100.00</w:t>
      </w:r>
      <w:r>
        <w:rPr>
          <w:rFonts w:hint="eastAsia" w:ascii="Times New Roman" w:hAnsi="Times New Roman" w:eastAsia="方正仿宋_GBK" w:cs="方正仿宋_GBK"/>
          <w:sz w:val="32"/>
          <w:szCs w:val="32"/>
          <w:shd w:val="clear" w:color="auto" w:fill="FFFFFF"/>
        </w:rPr>
        <w:t xml:space="preserve"> %。主要用于采购</w:t>
      </w:r>
      <w:r>
        <w:rPr>
          <w:rFonts w:hint="eastAsia" w:ascii="Times New Roman" w:hAnsi="Times New Roman" w:eastAsia="方正仿宋_GBK" w:cs="方正仿宋_GBK"/>
          <w:sz w:val="32"/>
          <w:szCs w:val="32"/>
          <w:shd w:val="clear" w:color="auto" w:fill="FFFFFF"/>
          <w:lang w:val="en-US" w:eastAsia="zh-CN"/>
        </w:rPr>
        <w:t>打印机、电脑等办公品。</w:t>
      </w:r>
    </w:p>
    <w:p w14:paraId="2E5FEBAD">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黑体_GBK" w:cs="方正黑体_GBK"/>
          <w:b/>
          <w:bCs/>
          <w:sz w:val="32"/>
          <w:szCs w:val="32"/>
          <w:shd w:val="clear" w:color="auto" w:fill="FFFFFF"/>
          <w:lang w:val="en-US" w:eastAsia="zh-CN"/>
        </w:rPr>
      </w:pPr>
      <w:r>
        <w:rPr>
          <w:rFonts w:hint="eastAsia" w:ascii="Times New Roman" w:hAnsi="Times New Roman" w:eastAsia="方正黑体_GBK" w:cs="方正黑体_GBK"/>
          <w:b/>
          <w:bCs/>
          <w:sz w:val="32"/>
          <w:szCs w:val="32"/>
          <w:shd w:val="clear" w:color="auto" w:fill="FFFFFF"/>
          <w:lang w:val="en-US" w:eastAsia="zh-CN"/>
        </w:rPr>
        <w:t>五、预算绩效管理情况说明</w:t>
      </w:r>
    </w:p>
    <w:p w14:paraId="586271B2">
      <w:pPr>
        <w:pStyle w:val="11"/>
        <w:keepNext w:val="0"/>
        <w:keepLines w:val="0"/>
        <w:pageBreakBefore w:val="0"/>
        <w:kinsoku/>
        <w:wordWrap/>
        <w:overflowPunct/>
        <w:topLinePunct w:val="0"/>
        <w:autoSpaceDE w:val="0"/>
        <w:autoSpaceDN/>
        <w:bidi w:val="0"/>
        <w:spacing w:beforeAutospacing="0" w:line="600" w:lineRule="exact"/>
        <w:ind w:left="0" w:leftChars="0" w:firstLine="643" w:firstLineChars="200"/>
        <w:textAlignment w:val="auto"/>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（一）</w:t>
      </w:r>
      <w:r>
        <w:rPr>
          <w:rFonts w:hint="eastAsia" w:ascii="Times New Roman" w:hAnsi="Times New Roman" w:eastAsia="方正楷体_GBK" w:cs="方正楷体_GBK"/>
          <w:b/>
          <w:bCs/>
          <w:sz w:val="32"/>
          <w:szCs w:val="32"/>
          <w:shd w:val="clear" w:color="auto" w:fill="FFFFFF"/>
          <w:lang w:val="en-US" w:eastAsia="zh-CN"/>
        </w:rPr>
        <w:t>单位</w:t>
      </w:r>
      <w:r>
        <w:rPr>
          <w:rFonts w:hint="eastAsia" w:ascii="Times New Roman" w:hAnsi="Times New Roman" w:eastAsia="方正楷体_GBK" w:cs="方正楷体_GBK"/>
          <w:b/>
          <w:bCs/>
          <w:sz w:val="32"/>
          <w:szCs w:val="32"/>
          <w:shd w:val="clear" w:color="auto" w:fill="FFFFFF"/>
        </w:rPr>
        <w:t>自评情况</w:t>
      </w:r>
    </w:p>
    <w:p w14:paraId="67194833">
      <w:pPr>
        <w:pStyle w:val="12"/>
        <w:keepNext w:val="0"/>
        <w:keepLines w:val="0"/>
        <w:pageBreakBefore w:val="0"/>
        <w:widowControl w:val="0"/>
        <w:kinsoku/>
        <w:wordWrap/>
        <w:overflowPunct/>
        <w:topLinePunct w:val="0"/>
        <w:autoSpaceDE w:val="0"/>
        <w:autoSpaceDN/>
        <w:bidi w:val="0"/>
        <w:adjustRightInd w:val="0"/>
        <w:snapToGrid w:val="0"/>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个</w:t>
      </w:r>
      <w:r>
        <w:rPr>
          <w:rFonts w:hint="default" w:ascii="Times New Roman" w:hAnsi="Times New Roman" w:eastAsia="方正仿宋_GBK" w:cs="Times New Roman"/>
          <w:sz w:val="32"/>
          <w:szCs w:val="32"/>
          <w:shd w:val="clear" w:color="auto" w:fill="FFFFFF"/>
        </w:rPr>
        <w:t>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203.40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2009B75A">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6BADCB56">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5EE97272">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44890B11">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0B95FB4F">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2CCBC776">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26A3D4CE">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520FC0AE">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03D1D8C6">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4B09BB0A">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49B950EE">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35EBF00A">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4AF6E8DF">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167431F8">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28795118">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6BC6DCB7">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p>
    <w:p w14:paraId="723F75AD">
      <w:pPr>
        <w:keepNext w:val="0"/>
        <w:keepLines w:val="0"/>
        <w:widowControl/>
        <w:suppressLineNumbers w:val="0"/>
        <w:jc w:val="center"/>
        <w:textAlignment w:val="center"/>
        <w:rPr>
          <w:rFonts w:hint="eastAsia" w:ascii="微软雅黑" w:hAnsi="微软雅黑" w:eastAsia="微软雅黑" w:cs="微软雅黑"/>
          <w:b/>
          <w:i w:val="0"/>
          <w:color w:val="000000"/>
          <w:kern w:val="0"/>
          <w:sz w:val="40"/>
          <w:szCs w:val="40"/>
          <w:u w:val="none"/>
          <w:lang w:val="en-US" w:eastAsia="zh-CN" w:bidi="ar"/>
        </w:rPr>
        <w:sectPr>
          <w:headerReference r:id="rId3" w:type="default"/>
          <w:footerReference r:id="rId4" w:type="default"/>
          <w:pgSz w:w="11850" w:h="16783"/>
          <w:pgMar w:top="2098" w:right="1474" w:bottom="1474" w:left="1587" w:header="0" w:footer="283" w:gutter="0"/>
          <w:pgNumType w:fmt="numberInDash"/>
          <w:cols w:space="0" w:num="1"/>
          <w:rtlGutter w:val="0"/>
          <w:docGrid w:type="lines" w:linePitch="326" w:charSpace="0"/>
        </w:sectPr>
      </w:pPr>
    </w:p>
    <w:tbl>
      <w:tblPr>
        <w:tblStyle w:val="7"/>
        <w:tblW w:w="13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21"/>
        <w:gridCol w:w="1093"/>
        <w:gridCol w:w="1093"/>
        <w:gridCol w:w="1082"/>
        <w:gridCol w:w="1232"/>
        <w:gridCol w:w="1136"/>
        <w:gridCol w:w="1414"/>
        <w:gridCol w:w="1093"/>
        <w:gridCol w:w="921"/>
        <w:gridCol w:w="1265"/>
        <w:gridCol w:w="1542"/>
      </w:tblGrid>
      <w:tr w14:paraId="0A41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6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15A5">
            <w:pPr>
              <w:jc w:val="center"/>
            </w:pPr>
            <w:r>
              <w:rPr>
                <w:rFonts w:hint="eastAsia"/>
                <w:b/>
                <w:bCs/>
                <w:sz w:val="44"/>
                <w:szCs w:val="44"/>
                <w:lang w:val="en-US" w:eastAsia="zh-CN"/>
              </w:rPr>
              <w:t>2023年度部门整体绩效自评表</w:t>
            </w:r>
          </w:p>
        </w:tc>
      </w:tr>
      <w:tr w14:paraId="714F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181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BF2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0A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7E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中国共产党巫溪县委员会政法委员会整体自评</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8D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F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50023800023P000059</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ED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5C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702E">
            <w:pPr>
              <w:jc w:val="right"/>
              <w:rPr>
                <w:rFonts w:hint="eastAsia" w:ascii="宋体" w:hAnsi="宋体" w:eastAsia="宋体" w:cs="宋体"/>
                <w:b/>
                <w:i w:val="0"/>
                <w:color w:val="000000"/>
                <w:sz w:val="22"/>
                <w:szCs w:val="22"/>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AB7C">
            <w:pPr>
              <w:rPr>
                <w:rFonts w:hint="eastAsia" w:ascii="宋体" w:hAnsi="宋体" w:eastAsia="宋体" w:cs="宋体"/>
                <w:i w:val="0"/>
                <w:color w:val="000000"/>
                <w:sz w:val="22"/>
                <w:szCs w:val="22"/>
                <w:u w:val="none"/>
              </w:rPr>
            </w:pPr>
          </w:p>
        </w:tc>
      </w:tr>
      <w:tr w14:paraId="6CBF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09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3C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010-中国共产党巫溪县委员会政法委员会</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5C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财政归口科室：</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E2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72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69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王燕</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A6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9C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17702350860</w:t>
            </w:r>
          </w:p>
        </w:tc>
      </w:tr>
      <w:tr w14:paraId="3374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6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11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9F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FBD0">
            <w:pPr>
              <w:jc w:val="center"/>
              <w:rPr>
                <w:rFonts w:hint="eastAsia" w:ascii="宋体" w:hAnsi="宋体" w:eastAsia="宋体" w:cs="宋体"/>
                <w:i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AD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A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70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6B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27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5F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4F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614F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66C8E2">
            <w:pPr>
              <w:rPr>
                <w:rFonts w:hint="eastAsia" w:ascii="宋体" w:hAnsi="宋体" w:eastAsia="宋体" w:cs="宋体"/>
                <w:i w:val="0"/>
                <w:color w:val="000000"/>
                <w:sz w:val="22"/>
                <w:szCs w:val="22"/>
                <w:u w:val="none"/>
              </w:rPr>
            </w:pPr>
          </w:p>
        </w:tc>
        <w:tc>
          <w:tcPr>
            <w:tcW w:w="10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0460C9">
            <w:pPr>
              <w:rPr>
                <w:rFonts w:hint="eastAsia" w:ascii="宋体" w:hAnsi="宋体" w:eastAsia="宋体" w:cs="宋体"/>
                <w:i w:val="0"/>
                <w:color w:val="000000"/>
                <w:sz w:val="22"/>
                <w:szCs w:val="22"/>
                <w:u w:val="none"/>
              </w:rPr>
            </w:pPr>
          </w:p>
        </w:tc>
        <w:tc>
          <w:tcPr>
            <w:tcW w:w="10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9185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847.33 </w:t>
            </w:r>
          </w:p>
        </w:tc>
        <w:tc>
          <w:tcPr>
            <w:tcW w:w="12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B45971">
            <w:pPr>
              <w:rPr>
                <w:rFonts w:hint="eastAsia" w:ascii="宋体" w:hAnsi="宋体" w:eastAsia="宋体" w:cs="宋体"/>
                <w:i w:val="0"/>
                <w:color w:val="000000"/>
                <w:sz w:val="22"/>
                <w:szCs w:val="22"/>
                <w:u w:val="none"/>
              </w:rPr>
            </w:pPr>
          </w:p>
        </w:tc>
        <w:tc>
          <w:tcPr>
            <w:tcW w:w="11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CA47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690.63 </w:t>
            </w:r>
          </w:p>
        </w:tc>
        <w:tc>
          <w:tcPr>
            <w:tcW w:w="141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92462D">
            <w:pPr>
              <w:rPr>
                <w:rFonts w:hint="eastAsia" w:ascii="宋体" w:hAnsi="宋体" w:eastAsia="宋体" w:cs="宋体"/>
                <w:i w:val="0"/>
                <w:color w:val="000000"/>
                <w:sz w:val="22"/>
                <w:szCs w:val="22"/>
                <w:u w:val="none"/>
              </w:rPr>
            </w:pPr>
          </w:p>
        </w:tc>
        <w:tc>
          <w:tcPr>
            <w:tcW w:w="109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6255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690.63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F0BB">
            <w:pPr>
              <w:rPr>
                <w:rFonts w:hint="eastAsia" w:ascii="宋体" w:hAnsi="宋体" w:eastAsia="宋体" w:cs="宋体"/>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0051">
            <w:pPr>
              <w:rPr>
                <w:rFonts w:hint="eastAsia" w:ascii="宋体" w:hAnsi="宋体" w:eastAsia="宋体" w:cs="宋体"/>
                <w:i w:val="0"/>
                <w:color w:val="000000"/>
                <w:sz w:val="22"/>
                <w:szCs w:val="22"/>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9738">
            <w:pPr>
              <w:jc w:val="right"/>
              <w:rPr>
                <w:rFonts w:hint="eastAsia" w:ascii="宋体" w:hAnsi="宋体" w:eastAsia="宋体" w:cs="宋体"/>
                <w:i w:val="0"/>
                <w:color w:val="000000"/>
                <w:sz w:val="22"/>
                <w:szCs w:val="22"/>
                <w:u w:val="none"/>
              </w:rPr>
            </w:pPr>
          </w:p>
        </w:tc>
      </w:tr>
      <w:tr w14:paraId="7522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6CEF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2828E1">
            <w:pPr>
              <w:rPr>
                <w:rFonts w:hint="eastAsia" w:ascii="宋体" w:hAnsi="宋体" w:eastAsia="宋体" w:cs="宋体"/>
                <w:i w:val="0"/>
                <w:color w:val="000000"/>
                <w:sz w:val="22"/>
                <w:szCs w:val="22"/>
                <w:u w:val="none"/>
              </w:rPr>
            </w:pPr>
          </w:p>
        </w:tc>
        <w:tc>
          <w:tcPr>
            <w:tcW w:w="10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E02BF7">
            <w:pPr>
              <w:rPr>
                <w:rFonts w:hint="eastAsia" w:ascii="宋体" w:hAnsi="宋体" w:eastAsia="宋体" w:cs="宋体"/>
                <w:i w:val="0"/>
                <w:color w:val="000000"/>
                <w:sz w:val="22"/>
                <w:szCs w:val="22"/>
                <w:u w:val="none"/>
              </w:rPr>
            </w:pPr>
          </w:p>
        </w:tc>
        <w:tc>
          <w:tcPr>
            <w:tcW w:w="10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F8FE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847.33 </w:t>
            </w:r>
          </w:p>
        </w:tc>
        <w:tc>
          <w:tcPr>
            <w:tcW w:w="12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C207DE">
            <w:pPr>
              <w:rPr>
                <w:rFonts w:hint="eastAsia" w:ascii="宋体" w:hAnsi="宋体" w:eastAsia="宋体" w:cs="宋体"/>
                <w:i w:val="0"/>
                <w:color w:val="000000"/>
                <w:sz w:val="22"/>
                <w:szCs w:val="22"/>
                <w:u w:val="none"/>
              </w:rPr>
            </w:pPr>
          </w:p>
        </w:tc>
        <w:tc>
          <w:tcPr>
            <w:tcW w:w="11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D43D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690.63 </w:t>
            </w:r>
          </w:p>
        </w:tc>
        <w:tc>
          <w:tcPr>
            <w:tcW w:w="141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61D64A">
            <w:pPr>
              <w:rPr>
                <w:rFonts w:hint="eastAsia" w:ascii="宋体" w:hAnsi="宋体" w:eastAsia="宋体" w:cs="宋体"/>
                <w:i w:val="0"/>
                <w:color w:val="000000"/>
                <w:sz w:val="22"/>
                <w:szCs w:val="22"/>
                <w:u w:val="none"/>
              </w:rPr>
            </w:pPr>
          </w:p>
        </w:tc>
        <w:tc>
          <w:tcPr>
            <w:tcW w:w="109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3C65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690.63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A5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E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9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8C7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0051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2856B8">
            <w:pPr>
              <w:rPr>
                <w:rFonts w:hint="eastAsia" w:ascii="宋体" w:hAnsi="宋体" w:eastAsia="宋体" w:cs="宋体"/>
                <w:i w:val="0"/>
                <w:color w:val="000000"/>
                <w:sz w:val="22"/>
                <w:szCs w:val="22"/>
                <w:u w:val="none"/>
              </w:rPr>
            </w:pPr>
          </w:p>
        </w:tc>
        <w:tc>
          <w:tcPr>
            <w:tcW w:w="10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5C4967">
            <w:pPr>
              <w:rPr>
                <w:rFonts w:hint="eastAsia" w:ascii="宋体" w:hAnsi="宋体" w:eastAsia="宋体" w:cs="宋体"/>
                <w:i w:val="0"/>
                <w:color w:val="000000"/>
                <w:sz w:val="22"/>
                <w:szCs w:val="22"/>
                <w:u w:val="none"/>
              </w:rPr>
            </w:pPr>
          </w:p>
        </w:tc>
        <w:tc>
          <w:tcPr>
            <w:tcW w:w="10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8487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847.33 </w:t>
            </w:r>
          </w:p>
        </w:tc>
        <w:tc>
          <w:tcPr>
            <w:tcW w:w="12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1C74D7">
            <w:pPr>
              <w:rPr>
                <w:rFonts w:hint="eastAsia" w:ascii="宋体" w:hAnsi="宋体" w:eastAsia="宋体" w:cs="宋体"/>
                <w:i w:val="0"/>
                <w:color w:val="000000"/>
                <w:sz w:val="22"/>
                <w:szCs w:val="22"/>
                <w:u w:val="none"/>
              </w:rPr>
            </w:pPr>
          </w:p>
        </w:tc>
        <w:tc>
          <w:tcPr>
            <w:tcW w:w="11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541E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690.63 </w:t>
            </w:r>
          </w:p>
        </w:tc>
        <w:tc>
          <w:tcPr>
            <w:tcW w:w="141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AEF312">
            <w:pPr>
              <w:rPr>
                <w:rFonts w:hint="eastAsia" w:ascii="宋体" w:hAnsi="宋体" w:eastAsia="宋体" w:cs="宋体"/>
                <w:i w:val="0"/>
                <w:color w:val="000000"/>
                <w:sz w:val="22"/>
                <w:szCs w:val="22"/>
                <w:u w:val="none"/>
              </w:rPr>
            </w:pPr>
          </w:p>
        </w:tc>
        <w:tc>
          <w:tcPr>
            <w:tcW w:w="109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2F91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690.63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E2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64B8">
            <w:pPr>
              <w:rPr>
                <w:rFonts w:hint="eastAsia" w:ascii="宋体" w:hAnsi="宋体" w:eastAsia="宋体" w:cs="宋体"/>
                <w:i w:val="0"/>
                <w:color w:val="000000"/>
                <w:sz w:val="22"/>
                <w:szCs w:val="22"/>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3A44">
            <w:pPr>
              <w:jc w:val="right"/>
              <w:rPr>
                <w:rFonts w:hint="eastAsia" w:ascii="宋体" w:hAnsi="宋体" w:eastAsia="宋体" w:cs="宋体"/>
                <w:i w:val="0"/>
                <w:color w:val="000000"/>
                <w:sz w:val="22"/>
                <w:szCs w:val="22"/>
                <w:u w:val="none"/>
              </w:rPr>
            </w:pPr>
          </w:p>
        </w:tc>
      </w:tr>
      <w:tr w14:paraId="29D6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6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6C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896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60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D0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7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E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3E4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50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399E2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按全市统一要求，2023年县级综治中心完成规范化建设，通过信息化手段，与党群服务中心、</w:t>
            </w:r>
            <w:r>
              <w:rPr>
                <w:rFonts w:hint="eastAsia" w:cs="宋体"/>
                <w:i w:val="0"/>
                <w:color w:val="000000"/>
                <w:kern w:val="0"/>
                <w:sz w:val="22"/>
                <w:szCs w:val="22"/>
                <w:u w:val="none"/>
                <w:lang w:val="en-US" w:eastAsia="zh-CN" w:bidi="ar"/>
              </w:rPr>
              <w:t>新时代文明实践中心</w:t>
            </w:r>
            <w:r>
              <w:rPr>
                <w:rFonts w:hint="eastAsia" w:ascii="宋体" w:hAnsi="宋体" w:eastAsia="宋体" w:cs="宋体"/>
                <w:i w:val="0"/>
                <w:color w:val="000000"/>
                <w:kern w:val="0"/>
                <w:sz w:val="22"/>
                <w:szCs w:val="22"/>
                <w:u w:val="none"/>
                <w:lang w:val="en-US" w:eastAsia="zh-CN" w:bidi="ar"/>
              </w:rPr>
              <w:t>、政务服务中心、数字化城市管理智慧中心等实现信息共享、协同联动,用于奖励和表彰见义勇为人员.完成遗属生活补助发放</w:t>
            </w:r>
            <w:r>
              <w:rPr>
                <w:rFonts w:hint="eastAsia" w:cs="宋体"/>
                <w:i w:val="0"/>
                <w:color w:val="000000"/>
                <w:kern w:val="0"/>
                <w:sz w:val="22"/>
                <w:szCs w:val="22"/>
                <w:u w:val="none"/>
                <w:lang w:val="en-US" w:eastAsia="zh-CN" w:bidi="ar"/>
              </w:rPr>
              <w:t>。</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33067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贯彻落实中央市委关于法学会相关工作要求，推动全县法学会相关工作有序按全市统一要求，2023年县级综治中心完成规范化建设，通过信息化手段，与党群服务中心、</w:t>
            </w:r>
            <w:r>
              <w:rPr>
                <w:rFonts w:hint="eastAsia" w:cs="宋体"/>
                <w:i w:val="0"/>
                <w:color w:val="000000"/>
                <w:kern w:val="0"/>
                <w:sz w:val="22"/>
                <w:szCs w:val="22"/>
                <w:u w:val="none"/>
                <w:lang w:val="en-US" w:eastAsia="zh-CN" w:bidi="ar"/>
              </w:rPr>
              <w:t>新时代文明实践中心</w:t>
            </w:r>
            <w:r>
              <w:rPr>
                <w:rFonts w:hint="eastAsia" w:ascii="宋体" w:hAnsi="宋体" w:eastAsia="宋体" w:cs="宋体"/>
                <w:i w:val="0"/>
                <w:color w:val="000000"/>
                <w:kern w:val="0"/>
                <w:sz w:val="22"/>
                <w:szCs w:val="22"/>
                <w:u w:val="none"/>
                <w:lang w:val="en-US" w:eastAsia="zh-CN" w:bidi="ar"/>
              </w:rPr>
              <w:t>、政务服务中心、数字化城市管理智慧中心等实现信息共享、协同联动,用于奖励和表彰见义勇为人员.完成遗属生活补助发放</w:t>
            </w:r>
            <w:r>
              <w:rPr>
                <w:rFonts w:hint="eastAsia" w:cs="宋体"/>
                <w:i w:val="0"/>
                <w:color w:val="000000"/>
                <w:kern w:val="0"/>
                <w:sz w:val="22"/>
                <w:szCs w:val="22"/>
                <w:u w:val="none"/>
                <w:lang w:val="en-US" w:eastAsia="zh-CN" w:bidi="ar"/>
              </w:rPr>
              <w:t>。</w:t>
            </w:r>
          </w:p>
        </w:tc>
        <w:tc>
          <w:tcPr>
            <w:tcW w:w="3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5064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按全市统一要求，2023年县级综治中心完成规范化建设，通过信息化手段，与党群服务中心、</w:t>
            </w:r>
            <w:r>
              <w:rPr>
                <w:rFonts w:hint="eastAsia" w:cs="宋体"/>
                <w:i w:val="0"/>
                <w:color w:val="000000"/>
                <w:kern w:val="0"/>
                <w:sz w:val="22"/>
                <w:szCs w:val="22"/>
                <w:u w:val="none"/>
                <w:lang w:val="en-US" w:eastAsia="zh-CN" w:bidi="ar"/>
              </w:rPr>
              <w:t>新时代文明实践中心</w:t>
            </w:r>
            <w:r>
              <w:rPr>
                <w:rFonts w:hint="eastAsia" w:ascii="宋体" w:hAnsi="宋体" w:eastAsia="宋体" w:cs="宋体"/>
                <w:i w:val="0"/>
                <w:color w:val="000000"/>
                <w:kern w:val="0"/>
                <w:sz w:val="22"/>
                <w:szCs w:val="22"/>
                <w:u w:val="none"/>
                <w:lang w:val="en-US" w:eastAsia="zh-CN" w:bidi="ar"/>
              </w:rPr>
              <w:t>、政务服务中心、数字化城市管理智慧中心等实现信息共享、协同联动,用于奖励和表彰见义勇为人员.完成遗属生活补助发放</w:t>
            </w:r>
            <w:r>
              <w:rPr>
                <w:rFonts w:hint="eastAsia" w:cs="宋体"/>
                <w:i w:val="0"/>
                <w:color w:val="000000"/>
                <w:kern w:val="0"/>
                <w:sz w:val="22"/>
                <w:szCs w:val="22"/>
                <w:u w:val="none"/>
                <w:lang w:val="en-US" w:eastAsia="zh-CN" w:bidi="ar"/>
              </w:rPr>
              <w:t>。</w:t>
            </w:r>
          </w:p>
        </w:tc>
      </w:tr>
      <w:tr w14:paraId="5889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6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87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637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3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2F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11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18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B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3F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2A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75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EE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9B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A8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E3B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1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打造示范点个数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34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C7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71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90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5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A2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6D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41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8A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7DAA">
            <w:pPr>
              <w:jc w:val="left"/>
              <w:rPr>
                <w:rFonts w:hint="eastAsia" w:ascii="宋体" w:hAnsi="宋体" w:eastAsia="宋体" w:cs="宋体"/>
                <w:i w:val="0"/>
                <w:color w:val="000000"/>
                <w:sz w:val="22"/>
                <w:szCs w:val="22"/>
                <w:u w:val="none"/>
              </w:rPr>
            </w:pPr>
          </w:p>
        </w:tc>
      </w:tr>
      <w:tr w14:paraId="4B9C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D3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讲座参加人数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AD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0D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4B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06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77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85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60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F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5C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EF9A">
            <w:pPr>
              <w:jc w:val="left"/>
              <w:rPr>
                <w:rFonts w:hint="eastAsia" w:ascii="宋体" w:hAnsi="宋体" w:eastAsia="宋体" w:cs="宋体"/>
                <w:i w:val="0"/>
                <w:color w:val="000000"/>
                <w:sz w:val="22"/>
                <w:szCs w:val="22"/>
                <w:u w:val="none"/>
              </w:rPr>
            </w:pPr>
          </w:p>
        </w:tc>
      </w:tr>
      <w:tr w14:paraId="5F7A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D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开展青少年法制讲堂</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B1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79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4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31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B4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23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32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B7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A6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1078">
            <w:pPr>
              <w:jc w:val="left"/>
              <w:rPr>
                <w:rFonts w:hint="eastAsia" w:ascii="宋体" w:hAnsi="宋体" w:eastAsia="宋体" w:cs="宋体"/>
                <w:i w:val="0"/>
                <w:color w:val="000000"/>
                <w:sz w:val="22"/>
                <w:szCs w:val="22"/>
                <w:u w:val="none"/>
              </w:rPr>
            </w:pPr>
          </w:p>
        </w:tc>
      </w:tr>
      <w:tr w14:paraId="4103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DF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涉法涉诉信访研判会次数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F0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64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B2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6D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04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18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30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35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06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851D">
            <w:pPr>
              <w:jc w:val="left"/>
              <w:rPr>
                <w:rFonts w:hint="eastAsia" w:ascii="宋体" w:hAnsi="宋体" w:eastAsia="宋体" w:cs="宋体"/>
                <w:i w:val="0"/>
                <w:color w:val="000000"/>
                <w:sz w:val="22"/>
                <w:szCs w:val="22"/>
                <w:u w:val="none"/>
              </w:rPr>
            </w:pPr>
          </w:p>
        </w:tc>
      </w:tr>
      <w:tr w14:paraId="3C57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F2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维稳研判会次数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0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4F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F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CE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5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D1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C3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A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F2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31A7">
            <w:pPr>
              <w:jc w:val="left"/>
              <w:rPr>
                <w:rFonts w:hint="eastAsia" w:ascii="宋体" w:hAnsi="宋体" w:eastAsia="宋体" w:cs="宋体"/>
                <w:i w:val="0"/>
                <w:color w:val="000000"/>
                <w:sz w:val="22"/>
                <w:szCs w:val="22"/>
                <w:u w:val="none"/>
              </w:rPr>
            </w:pPr>
          </w:p>
        </w:tc>
      </w:tr>
      <w:tr w14:paraId="6EBA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93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印发宣传手册</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BF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份</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59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3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A1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3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2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DB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BE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B4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F76B">
            <w:pPr>
              <w:jc w:val="left"/>
              <w:rPr>
                <w:rFonts w:hint="eastAsia" w:ascii="宋体" w:hAnsi="宋体" w:eastAsia="宋体" w:cs="宋体"/>
                <w:i w:val="0"/>
                <w:color w:val="000000"/>
                <w:sz w:val="22"/>
                <w:szCs w:val="22"/>
                <w:u w:val="none"/>
              </w:rPr>
            </w:pPr>
          </w:p>
        </w:tc>
      </w:tr>
      <w:tr w14:paraId="388C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5B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召开案件评查研判会次数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60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94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78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3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4C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C0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B2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AE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F4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4025">
            <w:pPr>
              <w:jc w:val="left"/>
              <w:rPr>
                <w:rFonts w:hint="eastAsia" w:ascii="宋体" w:hAnsi="宋体" w:eastAsia="宋体" w:cs="宋体"/>
                <w:i w:val="0"/>
                <w:color w:val="000000"/>
                <w:sz w:val="22"/>
                <w:szCs w:val="22"/>
                <w:u w:val="none"/>
              </w:rPr>
            </w:pPr>
          </w:p>
        </w:tc>
      </w:tr>
      <w:tr w14:paraId="738A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23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召开政治轮训会次数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D3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37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D0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CA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33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C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CA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A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D7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FBA6">
            <w:pPr>
              <w:jc w:val="left"/>
              <w:rPr>
                <w:rFonts w:hint="eastAsia" w:ascii="宋体" w:hAnsi="宋体" w:eastAsia="宋体" w:cs="宋体"/>
                <w:i w:val="0"/>
                <w:color w:val="000000"/>
                <w:sz w:val="22"/>
                <w:szCs w:val="22"/>
                <w:u w:val="none"/>
              </w:rPr>
            </w:pPr>
          </w:p>
        </w:tc>
      </w:tr>
      <w:tr w14:paraId="46AF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62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重点人员管控率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66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98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E2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AB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D9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A2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8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18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3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C51E">
            <w:pPr>
              <w:jc w:val="left"/>
              <w:rPr>
                <w:rFonts w:hint="eastAsia" w:ascii="宋体" w:hAnsi="宋体" w:eastAsia="宋体" w:cs="宋体"/>
                <w:i w:val="0"/>
                <w:color w:val="000000"/>
                <w:sz w:val="22"/>
                <w:szCs w:val="22"/>
                <w:u w:val="none"/>
              </w:rPr>
            </w:pPr>
          </w:p>
        </w:tc>
      </w:tr>
      <w:tr w14:paraId="783D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B6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法律宣传覆盖率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06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AD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05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0E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9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9F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D1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D7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CB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083A">
            <w:pPr>
              <w:jc w:val="left"/>
              <w:rPr>
                <w:rFonts w:hint="eastAsia" w:ascii="宋体" w:hAnsi="宋体" w:eastAsia="宋体" w:cs="宋体"/>
                <w:i w:val="0"/>
                <w:color w:val="000000"/>
                <w:sz w:val="22"/>
                <w:szCs w:val="22"/>
                <w:u w:val="none"/>
              </w:rPr>
            </w:pPr>
          </w:p>
        </w:tc>
      </w:tr>
      <w:tr w14:paraId="6EF7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34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反邪教宣传覆盖率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1F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A2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9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9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E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36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71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E1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75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C52C">
            <w:pPr>
              <w:jc w:val="left"/>
              <w:rPr>
                <w:rFonts w:hint="eastAsia" w:ascii="宋体" w:hAnsi="宋体" w:eastAsia="宋体" w:cs="宋体"/>
                <w:i w:val="0"/>
                <w:color w:val="000000"/>
                <w:sz w:val="22"/>
                <w:szCs w:val="22"/>
                <w:u w:val="none"/>
              </w:rPr>
            </w:pPr>
          </w:p>
        </w:tc>
      </w:tr>
      <w:tr w14:paraId="7705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F5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群众安全感满意度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C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&amp;</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EE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7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9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A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E0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F6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38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C0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F83D">
            <w:pPr>
              <w:jc w:val="left"/>
              <w:rPr>
                <w:rFonts w:hint="eastAsia" w:ascii="宋体" w:hAnsi="宋体" w:eastAsia="宋体" w:cs="宋体"/>
                <w:i w:val="0"/>
                <w:color w:val="000000"/>
                <w:sz w:val="22"/>
                <w:szCs w:val="22"/>
                <w:u w:val="none"/>
              </w:rPr>
            </w:pPr>
          </w:p>
        </w:tc>
      </w:tr>
      <w:tr w14:paraId="5114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F0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群众安全感满意度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6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92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39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2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52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EB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4F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F6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B5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B8A4">
            <w:pPr>
              <w:jc w:val="left"/>
              <w:rPr>
                <w:rFonts w:hint="eastAsia" w:ascii="宋体" w:hAnsi="宋体" w:eastAsia="宋体" w:cs="宋体"/>
                <w:i w:val="0"/>
                <w:color w:val="000000"/>
                <w:sz w:val="22"/>
                <w:szCs w:val="22"/>
                <w:u w:val="none"/>
              </w:rPr>
            </w:pPr>
          </w:p>
        </w:tc>
      </w:tr>
    </w:tbl>
    <w:p w14:paraId="4DC0BF9C">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sectPr>
          <w:pgSz w:w="16783" w:h="11850" w:orient="landscape"/>
          <w:pgMar w:top="2098" w:right="1474" w:bottom="1474" w:left="1587" w:header="0" w:footer="283" w:gutter="0"/>
          <w:pgNumType w:fmt="numberInDash"/>
          <w:cols w:space="0" w:num="1"/>
          <w:rtlGutter w:val="0"/>
          <w:docGrid w:type="lines" w:linePitch="331" w:charSpace="0"/>
        </w:sectPr>
      </w:pPr>
    </w:p>
    <w:tbl>
      <w:tblPr>
        <w:tblStyle w:val="7"/>
        <w:tblW w:w="13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28"/>
        <w:gridCol w:w="1018"/>
        <w:gridCol w:w="1039"/>
        <w:gridCol w:w="890"/>
        <w:gridCol w:w="1307"/>
        <w:gridCol w:w="1307"/>
        <w:gridCol w:w="1564"/>
        <w:gridCol w:w="1104"/>
        <w:gridCol w:w="996"/>
        <w:gridCol w:w="1414"/>
        <w:gridCol w:w="1185"/>
      </w:tblGrid>
      <w:tr w14:paraId="5283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375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120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D33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75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115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854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20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D2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扫黑除恶斗争常态化工作经费</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6A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r>
              <w:rPr>
                <w:rFonts w:hint="eastAsia"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编码：</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14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50023822T000002015199</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D0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E5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26F6">
            <w:pPr>
              <w:jc w:val="right"/>
              <w:rPr>
                <w:rFonts w:hint="eastAsia" w:ascii="宋体" w:hAnsi="宋体" w:eastAsia="宋体" w:cs="宋体"/>
                <w:b/>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5E21">
            <w:pPr>
              <w:rPr>
                <w:rFonts w:hint="eastAsia" w:ascii="宋体" w:hAnsi="宋体" w:eastAsia="宋体" w:cs="宋体"/>
                <w:i w:val="0"/>
                <w:color w:val="000000"/>
                <w:sz w:val="22"/>
                <w:szCs w:val="22"/>
                <w:u w:val="none"/>
              </w:rPr>
            </w:pPr>
          </w:p>
        </w:tc>
      </w:tr>
      <w:tr w14:paraId="6FA8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7C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06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010-中国共产党巫溪县委员会政法委员会</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DC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财政归口科室：</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05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43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FD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黄鑫</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73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51522364</w:t>
            </w:r>
          </w:p>
        </w:tc>
      </w:tr>
      <w:tr w14:paraId="1978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75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A5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D5B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6ECE">
            <w:pPr>
              <w:jc w:val="center"/>
              <w:rPr>
                <w:rFonts w:hint="eastAsia" w:ascii="宋体" w:hAnsi="宋体" w:eastAsia="宋体" w:cs="宋体"/>
                <w:i w:val="0"/>
                <w:color w:val="000000"/>
                <w:sz w:val="22"/>
                <w:szCs w:val="22"/>
                <w:u w:val="none"/>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52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B5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D1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A2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C2A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4F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02B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08A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CDC47E">
            <w:pP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4727FF">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85594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AA8E5B">
            <w:pPr>
              <w:rPr>
                <w:rFonts w:hint="eastAsia" w:ascii="宋体" w:hAnsi="宋体" w:eastAsia="宋体" w:cs="宋体"/>
                <w:i w:val="0"/>
                <w:color w:val="000000"/>
                <w:sz w:val="22"/>
                <w:szCs w:val="22"/>
                <w:u w:val="none"/>
              </w:rPr>
            </w:pPr>
          </w:p>
        </w:tc>
        <w:tc>
          <w:tcPr>
            <w:tcW w:w="130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936E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A6EBB6">
            <w:pPr>
              <w:rPr>
                <w:rFonts w:hint="eastAsia" w:ascii="宋体" w:hAnsi="宋体" w:eastAsia="宋体" w:cs="宋体"/>
                <w:i w:val="0"/>
                <w:color w:val="000000"/>
                <w:sz w:val="22"/>
                <w:szCs w:val="22"/>
                <w:u w:val="none"/>
              </w:rPr>
            </w:pPr>
          </w:p>
        </w:tc>
        <w:tc>
          <w:tcPr>
            <w:tcW w:w="11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169D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85D2">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3E08">
            <w:pPr>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672C">
            <w:pPr>
              <w:jc w:val="right"/>
              <w:rPr>
                <w:rFonts w:hint="eastAsia" w:ascii="宋体" w:hAnsi="宋体" w:eastAsia="宋体" w:cs="宋体"/>
                <w:i w:val="0"/>
                <w:color w:val="000000"/>
                <w:sz w:val="22"/>
                <w:szCs w:val="22"/>
                <w:u w:val="none"/>
              </w:rPr>
            </w:pPr>
          </w:p>
        </w:tc>
      </w:tr>
      <w:tr w14:paraId="547F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441F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76F804">
            <w:pP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BA56E4">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B693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13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830AFE">
            <w:pPr>
              <w:rPr>
                <w:rFonts w:hint="eastAsia" w:ascii="宋体" w:hAnsi="宋体" w:eastAsia="宋体" w:cs="宋体"/>
                <w:i w:val="0"/>
                <w:color w:val="000000"/>
                <w:sz w:val="22"/>
                <w:szCs w:val="22"/>
                <w:u w:val="none"/>
              </w:rPr>
            </w:pPr>
          </w:p>
        </w:tc>
        <w:tc>
          <w:tcPr>
            <w:tcW w:w="130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52CA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9433B6">
            <w:pPr>
              <w:rPr>
                <w:rFonts w:hint="eastAsia" w:ascii="宋体" w:hAnsi="宋体" w:eastAsia="宋体" w:cs="宋体"/>
                <w:i w:val="0"/>
                <w:color w:val="000000"/>
                <w:sz w:val="22"/>
                <w:szCs w:val="22"/>
                <w:u w:val="none"/>
              </w:rPr>
            </w:pPr>
          </w:p>
        </w:tc>
        <w:tc>
          <w:tcPr>
            <w:tcW w:w="11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EA10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79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D0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6D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BB6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D9B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9DF07A">
            <w:pP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D43BE9">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247B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13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26A684">
            <w:pPr>
              <w:rPr>
                <w:rFonts w:hint="eastAsia" w:ascii="宋体" w:hAnsi="宋体" w:eastAsia="宋体" w:cs="宋体"/>
                <w:i w:val="0"/>
                <w:color w:val="000000"/>
                <w:sz w:val="22"/>
                <w:szCs w:val="22"/>
                <w:u w:val="none"/>
              </w:rPr>
            </w:pPr>
          </w:p>
        </w:tc>
        <w:tc>
          <w:tcPr>
            <w:tcW w:w="130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2080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CC6119">
            <w:pPr>
              <w:rPr>
                <w:rFonts w:hint="eastAsia" w:ascii="宋体" w:hAnsi="宋体" w:eastAsia="宋体" w:cs="宋体"/>
                <w:i w:val="0"/>
                <w:color w:val="000000"/>
                <w:sz w:val="22"/>
                <w:szCs w:val="22"/>
                <w:u w:val="none"/>
              </w:rPr>
            </w:pPr>
          </w:p>
        </w:tc>
        <w:tc>
          <w:tcPr>
            <w:tcW w:w="11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CB44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B1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373A">
            <w:pPr>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1531">
            <w:pPr>
              <w:jc w:val="right"/>
              <w:rPr>
                <w:rFonts w:hint="eastAsia" w:ascii="宋体" w:hAnsi="宋体" w:eastAsia="宋体" w:cs="宋体"/>
                <w:i w:val="0"/>
                <w:color w:val="000000"/>
                <w:sz w:val="22"/>
                <w:szCs w:val="22"/>
                <w:u w:val="none"/>
              </w:rPr>
            </w:pPr>
          </w:p>
        </w:tc>
      </w:tr>
      <w:tr w14:paraId="749D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75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573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816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45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2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7B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5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01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A0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1D16A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扎实开展扫黑除恶常态化斗争机制建设，全面掌握全县斗争总体情况，及时发现遏制黑恶势力滋生蔓延。</w:t>
            </w:r>
          </w:p>
        </w:tc>
        <w:tc>
          <w:tcPr>
            <w:tcW w:w="52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1781E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扎实开展扫黑除恶常态化斗争机制建设，全面掌握全县斗争总体情况，及时发现遏制黑恶势力滋生蔓延。</w:t>
            </w:r>
          </w:p>
        </w:tc>
        <w:tc>
          <w:tcPr>
            <w:tcW w:w="35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F099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扎实开展扫黑除恶常态化斗争机制建设，全面掌握全县斗争总体情况，及时发现遏制黑恶势力滋生蔓延。</w:t>
            </w:r>
          </w:p>
        </w:tc>
      </w:tr>
      <w:tr w14:paraId="493B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75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066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2E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5A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9D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12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FF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FD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E1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84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C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66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21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AB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7EE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4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开展扫黑除恶研判会</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B2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D7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7A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56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C1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0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A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2C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FB1A">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2062">
            <w:pPr>
              <w:jc w:val="left"/>
              <w:rPr>
                <w:rFonts w:hint="eastAsia" w:ascii="宋体" w:hAnsi="宋体" w:eastAsia="宋体" w:cs="宋体"/>
                <w:i w:val="0"/>
                <w:color w:val="000000"/>
                <w:sz w:val="22"/>
                <w:szCs w:val="22"/>
                <w:u w:val="none"/>
              </w:rPr>
            </w:pPr>
          </w:p>
        </w:tc>
      </w:tr>
      <w:tr w14:paraId="1D56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6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人民群众安全感</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AC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B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67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BE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56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7C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88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25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822A">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EFE0">
            <w:pPr>
              <w:jc w:val="left"/>
              <w:rPr>
                <w:rFonts w:hint="eastAsia" w:ascii="宋体" w:hAnsi="宋体" w:eastAsia="宋体" w:cs="宋体"/>
                <w:i w:val="0"/>
                <w:color w:val="000000"/>
                <w:sz w:val="22"/>
                <w:szCs w:val="22"/>
                <w:u w:val="none"/>
              </w:rPr>
            </w:pPr>
          </w:p>
        </w:tc>
      </w:tr>
      <w:tr w14:paraId="4587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CB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人民群众满意度</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27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FB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83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0A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65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B6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8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2C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51DD">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6764">
            <w:pPr>
              <w:jc w:val="left"/>
              <w:rPr>
                <w:rFonts w:hint="eastAsia" w:ascii="宋体" w:hAnsi="宋体" w:eastAsia="宋体" w:cs="宋体"/>
                <w:i w:val="0"/>
                <w:color w:val="000000"/>
                <w:sz w:val="22"/>
                <w:szCs w:val="22"/>
                <w:u w:val="none"/>
              </w:rPr>
            </w:pPr>
          </w:p>
        </w:tc>
      </w:tr>
    </w:tbl>
    <w:p w14:paraId="0AD7803D">
      <w:pPr>
        <w:pStyle w:val="11"/>
        <w:keepNext w:val="0"/>
        <w:keepLines w:val="0"/>
        <w:pageBreakBefore w:val="0"/>
        <w:kinsoku/>
        <w:overflowPunct/>
        <w:topLinePunct w:val="0"/>
        <w:autoSpaceDE w:val="0"/>
        <w:autoSpaceDN/>
        <w:bidi w:val="0"/>
        <w:spacing w:beforeAutospacing="0" w:line="600" w:lineRule="exact"/>
        <w:ind w:firstLine="643"/>
        <w:rPr>
          <w:rFonts w:hint="eastAsia" w:ascii="Times New Roman" w:hAnsi="Times New Roman" w:eastAsia="方正仿宋_GBK" w:cs="方正仿宋_GBK"/>
          <w:sz w:val="32"/>
          <w:szCs w:val="32"/>
          <w:shd w:val="clear" w:color="auto" w:fill="FFFFFF"/>
        </w:rPr>
        <w:sectPr>
          <w:pgSz w:w="16783" w:h="11850" w:orient="landscape"/>
          <w:pgMar w:top="2098" w:right="1474" w:bottom="1474" w:left="1587" w:header="0" w:footer="283" w:gutter="0"/>
          <w:pgNumType w:fmt="numberInDash"/>
          <w:cols w:space="0" w:num="1"/>
          <w:rtlGutter w:val="0"/>
          <w:docGrid w:type="lines" w:linePitch="331" w:charSpace="0"/>
        </w:sectPr>
      </w:pPr>
    </w:p>
    <w:p w14:paraId="7A0692EC">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（二）部门绩效评价情况</w:t>
      </w:r>
    </w:p>
    <w:p w14:paraId="75D803E0">
      <w:pPr>
        <w:pStyle w:val="14"/>
        <w:keepNext w:val="0"/>
        <w:keepLines w:val="0"/>
        <w:pageBreakBefore w:val="0"/>
        <w:kinsoku/>
        <w:overflowPunct/>
        <w:topLinePunct w:val="0"/>
        <w:autoSpaceDE w:val="0"/>
        <w:autoSpaceDN/>
        <w:bidi w:val="0"/>
        <w:spacing w:beforeAutospacing="0" w:line="600" w:lineRule="exact"/>
        <w:ind w:firstLine="960" w:firstLineChars="300"/>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仿宋_GBK" w:cs="方正仿宋_GBK"/>
          <w:sz w:val="32"/>
          <w:szCs w:val="32"/>
          <w:shd w:val="clear" w:color="auto" w:fill="FFFFFF"/>
        </w:rPr>
        <w:t>我部门对扫黑除恶斗争常态化工作经费开展了绩效评价，涉及财政拨款项目资金</w:t>
      </w:r>
      <w:r>
        <w:rPr>
          <w:rFonts w:hint="eastAsia" w:ascii="Times New Roman" w:hAnsi="Times New Roman" w:eastAsia="方正仿宋_GBK" w:cs="方正仿宋_GBK"/>
          <w:sz w:val="32"/>
          <w:szCs w:val="32"/>
          <w:shd w:val="clear" w:color="auto" w:fill="FFFFFF"/>
          <w:lang w:val="en-US" w:eastAsia="zh-CN"/>
        </w:rPr>
        <w:t>10</w:t>
      </w:r>
      <w:r>
        <w:rPr>
          <w:rFonts w:hint="eastAsia" w:ascii="Times New Roman" w:hAnsi="Times New Roman" w:eastAsia="方正仿宋_GBK" w:cs="方正仿宋_GBK"/>
          <w:sz w:val="32"/>
          <w:szCs w:val="32"/>
          <w:shd w:val="clear" w:color="auto" w:fill="FFFFFF"/>
        </w:rPr>
        <w:t>万元，评价得分</w:t>
      </w:r>
      <w:r>
        <w:rPr>
          <w:rFonts w:hint="eastAsia" w:ascii="Times New Roman" w:hAnsi="Times New Roman" w:eastAsia="方正仿宋_GBK" w:cs="方正仿宋_GBK"/>
          <w:sz w:val="32"/>
          <w:szCs w:val="32"/>
          <w:shd w:val="clear" w:color="auto" w:fill="FFFFFF"/>
          <w:lang w:val="en-US" w:eastAsia="zh-CN"/>
        </w:rPr>
        <w:t>100</w:t>
      </w:r>
      <w:r>
        <w:rPr>
          <w:rFonts w:hint="eastAsia" w:ascii="Times New Roman" w:hAnsi="Times New Roman" w:eastAsia="方正仿宋_GBK" w:cs="方正仿宋_GBK"/>
          <w:sz w:val="32"/>
          <w:szCs w:val="32"/>
          <w:shd w:val="clear" w:color="auto" w:fill="FFFFFF"/>
        </w:rPr>
        <w:t>分，评价等次为</w:t>
      </w:r>
      <w:r>
        <w:rPr>
          <w:rFonts w:hint="eastAsia" w:ascii="Times New Roman" w:hAnsi="Times New Roman" w:eastAsia="方正仿宋_GBK" w:cs="方正仿宋_GBK"/>
          <w:sz w:val="32"/>
          <w:szCs w:val="32"/>
          <w:shd w:val="clear" w:color="auto" w:fill="FFFFFF"/>
          <w:lang w:val="en-US" w:eastAsia="zh-CN"/>
        </w:rPr>
        <w:t>优</w:t>
      </w:r>
      <w:r>
        <w:rPr>
          <w:rFonts w:hint="eastAsia" w:ascii="Times New Roman" w:hAnsi="Times New Roman" w:eastAsia="方正仿宋_GBK" w:cs="方正仿宋_GBK"/>
          <w:sz w:val="32"/>
          <w:szCs w:val="32"/>
          <w:shd w:val="clear" w:color="auto" w:fill="FFFFFF"/>
        </w:rPr>
        <w:t>，绩效评价发现了经费的使用未能严格按照计划执行，专项经费有被挤占的情况。等主要问题，提出严格执行专项资金管理办法等下一步工作建议</w:t>
      </w:r>
      <w:r>
        <w:rPr>
          <w:rFonts w:hint="eastAsia" w:ascii="Times New Roman" w:hAnsi="Times New Roman" w:eastAsia="方正仿宋_GBK" w:cs="方正仿宋_GBK"/>
          <w:sz w:val="32"/>
          <w:szCs w:val="32"/>
          <w:shd w:val="clear" w:color="auto" w:fill="FFFFFF"/>
          <w:lang w:eastAsia="zh-CN"/>
        </w:rPr>
        <w:t>。</w:t>
      </w:r>
    </w:p>
    <w:p w14:paraId="7F9AF6C9">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rPr>
      </w:pPr>
      <w:r>
        <w:rPr>
          <w:rFonts w:hint="eastAsia" w:ascii="Times New Roman" w:hAnsi="Times New Roman" w:eastAsia="方正楷体_GBK" w:cs="方正楷体_GBK"/>
          <w:b/>
          <w:bCs/>
          <w:sz w:val="32"/>
          <w:szCs w:val="32"/>
          <w:shd w:val="clear" w:color="auto" w:fill="FFFFFF"/>
        </w:rPr>
        <w:t>（三）财政绩效评价情况</w:t>
      </w:r>
    </w:p>
    <w:p w14:paraId="566D425E">
      <w:pPr>
        <w:pStyle w:val="11"/>
        <w:keepNext w:val="0"/>
        <w:keepLines w:val="0"/>
        <w:pageBreakBefore w:val="0"/>
        <w:kinsoku/>
        <w:overflowPunct/>
        <w:topLinePunct w:val="0"/>
        <w:autoSpaceDE w:val="0"/>
        <w:autoSpaceDN/>
        <w:bidi w:val="0"/>
        <w:spacing w:beforeAutospacing="0" w:line="600" w:lineRule="exact"/>
        <w:ind w:firstLine="643"/>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县财政局未委托第三方对我部门开展绩效评价。</w:t>
      </w:r>
    </w:p>
    <w:p w14:paraId="0E42E7D4">
      <w:pPr>
        <w:pStyle w:val="6"/>
        <w:keepNext w:val="0"/>
        <w:keepLines w:val="0"/>
        <w:pageBreakBefore w:val="0"/>
        <w:kinsoku/>
        <w:overflowPunct/>
        <w:topLinePunct w:val="0"/>
        <w:autoSpaceDN/>
        <w:bidi w:val="0"/>
        <w:snapToGrid w:val="0"/>
        <w:spacing w:before="0" w:beforeAutospacing="0" w:after="0" w:afterAutospacing="0" w:line="600" w:lineRule="exact"/>
        <w:ind w:firstLine="720" w:firstLineChars="200"/>
        <w:jc w:val="both"/>
        <w:rPr>
          <w:rStyle w:val="10"/>
          <w:rFonts w:hint="eastAsia" w:ascii="Times New Roman" w:hAnsi="Times New Roman" w:eastAsia="方正小标宋_GBK" w:cs="方正小标宋_GBK"/>
          <w:b w:val="0"/>
          <w:bCs/>
          <w:sz w:val="36"/>
          <w:szCs w:val="36"/>
          <w:shd w:val="clear" w:color="auto" w:fill="FFFFFF"/>
          <w:lang w:val="en-US" w:eastAsia="zh-CN"/>
        </w:rPr>
      </w:pPr>
      <w:r>
        <w:rPr>
          <w:rStyle w:val="10"/>
          <w:rFonts w:hint="eastAsia" w:ascii="Times New Roman" w:hAnsi="Times New Roman" w:eastAsia="方正小标宋_GBK" w:cs="方正小标宋_GBK"/>
          <w:b w:val="0"/>
          <w:bCs/>
          <w:sz w:val="36"/>
          <w:szCs w:val="36"/>
          <w:shd w:val="clear" w:color="auto" w:fill="FFFFFF"/>
          <w:lang w:val="en-US" w:eastAsia="zh-CN"/>
        </w:rPr>
        <w:t> </w:t>
      </w:r>
      <w:r>
        <w:rPr>
          <w:rFonts w:hint="eastAsia" w:ascii="Times New Roman" w:hAnsi="Times New Roman" w:eastAsia="方正黑体_GBK" w:cs="方正黑体_GBK"/>
          <w:b/>
          <w:bCs/>
          <w:sz w:val="32"/>
          <w:szCs w:val="32"/>
          <w:shd w:val="clear" w:color="auto" w:fill="FFFFFF"/>
          <w:lang w:val="en-US" w:eastAsia="zh-CN" w:bidi="ar-SA"/>
        </w:rPr>
        <w:t xml:space="preserve"> 六、专业名词解释</w:t>
      </w:r>
    </w:p>
    <w:p w14:paraId="126D1015">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23E08504">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E581FFC">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75502434">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A1F0DF3">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shd w:val="clear" w:color="auto" w:fill="FFFFFF"/>
          <w:lang w:val="en-US" w:eastAsia="zh-CN" w:bidi="ar-SA"/>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ADA40BD">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shd w:val="clear" w:color="auto" w:fill="FFFFFF"/>
          <w:lang w:val="en-US" w:eastAsia="zh-CN" w:bidi="ar-SA"/>
        </w:rPr>
        <w:t> （六）年初结转和结余：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6BD3C900">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7015D4DD">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1514A90E">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cs="方正黑体_GBK"/>
          <w:b/>
          <w:bCs/>
          <w:sz w:val="32"/>
          <w:szCs w:val="32"/>
          <w:shd w:val="clear" w:color="auto" w:fill="FFFFFF"/>
          <w:lang w:val="en-US" w:eastAsia="zh-CN" w:bidi="ar-SA"/>
        </w:rPr>
        <w:t> </w:t>
      </w:r>
      <w:r>
        <w:rPr>
          <w:rFonts w:hint="eastAsia" w:ascii="Times New Roman" w:hAnsi="Times New Roman" w:eastAsia="方正楷体_GBK" w:cs="方正楷体_GBK"/>
          <w:b/>
          <w:bCs/>
          <w:sz w:val="32"/>
          <w:szCs w:val="32"/>
          <w:shd w:val="clear" w:color="auto" w:fill="FFFFFF"/>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4625E6">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6CB0AD1D">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shd w:val="clear" w:color="auto" w:fill="FFFFFF"/>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w:t>
      </w:r>
    </w:p>
    <w:p w14:paraId="0F5D0F5B">
      <w:pPr>
        <w:pStyle w:val="6"/>
        <w:keepNext w:val="0"/>
        <w:keepLines w:val="0"/>
        <w:pageBreakBefore w:val="0"/>
        <w:kinsoku/>
        <w:overflowPunct/>
        <w:topLinePunct w:val="0"/>
        <w:autoSpaceDN/>
        <w:bidi w:val="0"/>
        <w:snapToGrid w:val="0"/>
        <w:spacing w:before="0" w:beforeAutospacing="0" w:after="0" w:afterAutospacing="0" w:line="600" w:lineRule="exact"/>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助活动之外开展非独立核算经营活动发生的支出。</w:t>
      </w:r>
    </w:p>
    <w:p w14:paraId="1C324823">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cs="方正黑体_GBK"/>
          <w:b/>
          <w:bCs/>
          <w:sz w:val="32"/>
          <w:szCs w:val="32"/>
          <w:shd w:val="clear" w:color="auto" w:fill="FFFFFF"/>
          <w:lang w:val="en-US" w:eastAsia="zh-CN" w:bidi="ar-SA"/>
        </w:rPr>
        <w:t> </w:t>
      </w:r>
      <w:r>
        <w:rPr>
          <w:rFonts w:hint="eastAsia" w:ascii="Times New Roman" w:hAnsi="Times New Roman" w:eastAsia="方正楷体_GBK" w:cs="方正楷体_GBK"/>
          <w:b/>
          <w:bCs/>
          <w:sz w:val="32"/>
          <w:szCs w:val="32"/>
          <w:shd w:val="clear" w:color="auto" w:fill="FFFFFF"/>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507BC0">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cs="方正黑体_GBK"/>
          <w:b/>
          <w:bCs/>
          <w:sz w:val="32"/>
          <w:szCs w:val="32"/>
          <w:shd w:val="clear" w:color="auto" w:fill="FFFFFF"/>
          <w:lang w:val="en-US" w:eastAsia="zh-CN" w:bidi="ar-SA"/>
        </w:rPr>
        <w:t> </w:t>
      </w:r>
      <w:r>
        <w:rPr>
          <w:rFonts w:hint="eastAsia" w:ascii="Times New Roman" w:hAnsi="Times New Roman" w:eastAsia="方正楷体_GBK" w:cs="方正楷体_GBK"/>
          <w:b/>
          <w:bCs/>
          <w:sz w:val="32"/>
          <w:szCs w:val="32"/>
          <w:shd w:val="clear" w:color="auto" w:fill="FFFFFF"/>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DD6BDF">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343D66A5">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shd w:val="clear" w:color="auto" w:fill="FFFFFF"/>
        </w:rPr>
      </w:pPr>
      <w:r>
        <w:rPr>
          <w:rStyle w:val="10"/>
          <w:rFonts w:hint="eastAsia" w:ascii="Times New Roman" w:hAnsi="Times New Roman" w:eastAsia="方正仿宋_GBK" w:cs="方正仿宋_GBK"/>
          <w:sz w:val="32"/>
          <w:szCs w:val="32"/>
          <w:shd w:val="clear" w:color="auto" w:fill="FFFFFF"/>
        </w:rPr>
        <w:t> </w:t>
      </w:r>
      <w:r>
        <w:rPr>
          <w:rFonts w:hint="eastAsia" w:ascii="Times New Roman" w:hAnsi="Times New Roman" w:eastAsia="方正楷体_GBK" w:cs="方正楷体_GBK"/>
          <w:b/>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48003878">
      <w:pPr>
        <w:pStyle w:val="6"/>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楷体_GBK" w:cs="方正楷体_GBK"/>
          <w:b/>
          <w:bCs/>
          <w:sz w:val="32"/>
          <w:szCs w:val="32"/>
          <w:shd w:val="clear" w:color="auto" w:fill="FFFFFF"/>
          <w:lang w:val="en-US" w:eastAsia="zh-CN" w:bidi="ar-SA"/>
        </w:rPr>
      </w:pPr>
      <w:r>
        <w:rPr>
          <w:rFonts w:hint="eastAsia" w:ascii="Times New Roman" w:hAnsi="Times New Roman" w:eastAsia="方正黑体_GBK" w:cs="方正黑体_GBK"/>
          <w:b/>
          <w:bCs/>
          <w:sz w:val="32"/>
          <w:szCs w:val="32"/>
          <w:shd w:val="clear" w:color="auto" w:fill="FFFFFF"/>
          <w:lang w:val="en-US" w:eastAsia="zh-CN" w:bidi="ar-SA"/>
        </w:rPr>
        <w:t> </w:t>
      </w:r>
      <w:r>
        <w:rPr>
          <w:rFonts w:hint="eastAsia" w:ascii="Times New Roman" w:hAnsi="Times New Roman" w:eastAsia="方正楷体_GBK" w:cs="方正楷体_GBK"/>
          <w:b/>
          <w:bCs/>
          <w:sz w:val="32"/>
          <w:szCs w:val="32"/>
          <w:shd w:val="clear" w:color="auto" w:fill="FFFFFF"/>
          <w:lang w:val="en-US" w:eastAsia="zh-CN" w:bidi="ar-SA"/>
        </w:rPr>
        <w:t>（十六）对个人和家庭的补助（支出经济分类科目类级）：</w:t>
      </w:r>
    </w:p>
    <w:p w14:paraId="151EF60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反映用于对个人和家庭的补助支出。</w:t>
      </w:r>
    </w:p>
    <w:p w14:paraId="5314BE9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shd w:val="clear" w:color="auto" w:fill="FFFFFF"/>
          <w:lang w:val="en-US" w:eastAsia="zh-CN" w:bidi="ar-SA"/>
        </w:rPr>
        <w:t> （十七）其他资本性支出（支出经济分类科目类级）：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FCEF293">
      <w:pPr>
        <w:pStyle w:val="11"/>
        <w:keepNext w:val="0"/>
        <w:keepLines w:val="0"/>
        <w:pageBreakBefore w:val="0"/>
        <w:kinsoku/>
        <w:overflowPunct/>
        <w:topLinePunct w:val="0"/>
        <w:autoSpaceDE w:val="0"/>
        <w:autoSpaceDN/>
        <w:bidi w:val="0"/>
        <w:spacing w:beforeAutospacing="0" w:line="600" w:lineRule="exact"/>
        <w:ind w:left="0" w:leftChars="0" w:firstLine="643" w:firstLineChars="200"/>
        <w:rPr>
          <w:rFonts w:hint="eastAsia" w:ascii="Times New Roman" w:hAnsi="Times New Roman" w:eastAsia="方正楷体_GBK" w:cs="方正楷体_GBK"/>
          <w:b/>
          <w:bCs/>
          <w:sz w:val="32"/>
          <w:szCs w:val="32"/>
          <w:shd w:val="clear" w:color="auto" w:fill="FFFFFF"/>
          <w:lang w:val="en-US" w:eastAsia="zh-CN"/>
        </w:rPr>
      </w:pPr>
      <w:r>
        <w:rPr>
          <w:rFonts w:hint="eastAsia" w:ascii="Times New Roman" w:hAnsi="Times New Roman" w:eastAsia="方正黑体_GBK" w:cs="方正黑体_GBK"/>
          <w:b/>
          <w:bCs/>
          <w:sz w:val="32"/>
          <w:szCs w:val="32"/>
          <w:shd w:val="clear" w:color="auto" w:fill="FFFFFF"/>
          <w:lang w:val="en-US" w:eastAsia="zh-CN"/>
        </w:rPr>
        <w:t>七、决算公开联系方式及信息反馈渠道</w:t>
      </w:r>
    </w:p>
    <w:p w14:paraId="797367A2">
      <w:pPr>
        <w:pStyle w:val="6"/>
        <w:keepNext w:val="0"/>
        <w:keepLines w:val="0"/>
        <w:pageBreakBefore w:val="0"/>
        <w:kinsoku/>
        <w:overflowPunct/>
        <w:topLinePunct w:val="0"/>
        <w:autoSpaceDN/>
        <w:bidi w:val="0"/>
        <w:snapToGrid w:val="0"/>
        <w:spacing w:before="0" w:beforeAutospacing="0" w:after="0" w:afterAutospacing="0" w:line="600" w:lineRule="exact"/>
        <w:ind w:firstLine="608" w:firstLineChars="200"/>
        <w:jc w:val="both"/>
        <w:rPr>
          <w:rFonts w:hint="eastAsia" w:ascii="Times New Roman" w:hAnsi="Times New Roman" w:eastAsia="方正仿宋_GBK" w:cs="方正仿宋_GBK"/>
          <w:w w:val="95"/>
          <w:sz w:val="32"/>
          <w:szCs w:val="32"/>
          <w:shd w:val="clear" w:color="auto" w:fill="FFFFFF"/>
          <w:lang w:val="en-US" w:eastAsia="zh-CN"/>
        </w:rPr>
      </w:pPr>
      <w:r>
        <w:rPr>
          <w:rFonts w:hint="eastAsia" w:ascii="Times New Roman" w:hAnsi="Times New Roman" w:eastAsia="方正仿宋_GBK" w:cs="方正仿宋_GBK"/>
          <w:w w:val="95"/>
          <w:sz w:val="32"/>
          <w:szCs w:val="32"/>
          <w:shd w:val="clear" w:color="auto" w:fill="FFFFFF"/>
        </w:rPr>
        <w:t>本单位决算公开信息反馈和联系方式：</w:t>
      </w:r>
      <w:r>
        <w:rPr>
          <w:rFonts w:hint="eastAsia" w:ascii="Times New Roman" w:hAnsi="Times New Roman" w:eastAsia="方正仿宋_GBK" w:cs="方正仿宋_GBK"/>
          <w:w w:val="95"/>
          <w:sz w:val="32"/>
          <w:szCs w:val="32"/>
          <w:shd w:val="clear" w:color="auto" w:fill="FFFFFF"/>
          <w:lang w:eastAsia="zh-CN"/>
        </w:rPr>
        <w:t>王燕</w:t>
      </w:r>
      <w:r>
        <w:rPr>
          <w:rFonts w:hint="eastAsia" w:ascii="Times New Roman" w:hAnsi="Times New Roman" w:eastAsia="方正仿宋_GBK" w:cs="方正仿宋_GBK"/>
          <w:w w:val="95"/>
          <w:sz w:val="32"/>
          <w:szCs w:val="32"/>
          <w:shd w:val="clear" w:color="auto" w:fill="FFFFFF"/>
          <w:lang w:val="en-US" w:eastAsia="zh-CN"/>
        </w:rPr>
        <w:t xml:space="preserve"> </w:t>
      </w:r>
      <w:r>
        <w:rPr>
          <w:rFonts w:hint="eastAsia" w:ascii="Times New Roman" w:hAnsi="Times New Roman" w:eastAsia="方正仿宋_GBK" w:cs="方正仿宋_GBK"/>
          <w:w w:val="95"/>
          <w:sz w:val="32"/>
          <w:szCs w:val="32"/>
          <w:shd w:val="clear" w:color="auto" w:fill="FFFFFF"/>
        </w:rPr>
        <w:t>023-</w:t>
      </w:r>
      <w:r>
        <w:rPr>
          <w:rFonts w:hint="eastAsia" w:ascii="Times New Roman" w:hAnsi="Times New Roman" w:eastAsia="方正仿宋_GBK" w:cs="方正仿宋_GBK"/>
          <w:w w:val="95"/>
          <w:sz w:val="32"/>
          <w:szCs w:val="32"/>
          <w:shd w:val="clear" w:color="auto" w:fill="FFFFFF"/>
          <w:lang w:val="en-US" w:eastAsia="zh-CN"/>
        </w:rPr>
        <w:t>51228205</w:t>
      </w:r>
    </w:p>
    <w:p w14:paraId="7E8EB92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2AA5BE1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09DBB48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1825E15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4A72BDE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6257054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6FD6C7A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46B6DDB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51FFB82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438B31DD">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322FCD8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p>
    <w:p w14:paraId="10511EA8">
      <w:pPr>
        <w:keepNext w:val="0"/>
        <w:keepLines w:val="0"/>
        <w:pageBreakBefore w:val="0"/>
        <w:kinsoku/>
        <w:overflowPunct/>
        <w:topLinePunct w:val="0"/>
        <w:autoSpaceDN/>
        <w:bidi w:val="0"/>
        <w:spacing w:beforeAutospacing="0" w:line="600" w:lineRule="exact"/>
        <w:jc w:val="both"/>
        <w:textAlignment w:val="bottom"/>
        <w:rPr>
          <w:rFonts w:hint="eastAsia" w:ascii="Times New Roman" w:hAnsi="Times New Roman" w:eastAsia="方正仿宋_GBK" w:cs="方正仿宋_GBK"/>
          <w:b/>
          <w:color w:val="000000"/>
          <w:sz w:val="32"/>
          <w:szCs w:val="32"/>
        </w:rPr>
        <w:sectPr>
          <w:pgSz w:w="11850" w:h="16783"/>
          <w:pgMar w:top="1474" w:right="1474" w:bottom="1587" w:left="2098" w:header="0" w:footer="283" w:gutter="0"/>
          <w:pgNumType w:fmt="numberInDash"/>
          <w:cols w:space="0" w:num="1"/>
          <w:rtlGutter w:val="0"/>
          <w:docGrid w:type="lines" w:linePitch="326" w:charSpace="0"/>
        </w:sectPr>
      </w:pPr>
    </w:p>
    <w:tbl>
      <w:tblPr>
        <w:tblStyle w:val="7"/>
        <w:tblW w:w="13766" w:type="dxa"/>
        <w:tblInd w:w="0" w:type="dxa"/>
        <w:tblLayout w:type="fixed"/>
        <w:tblCellMar>
          <w:top w:w="0" w:type="dxa"/>
          <w:left w:w="0" w:type="dxa"/>
          <w:bottom w:w="0" w:type="dxa"/>
          <w:right w:w="0" w:type="dxa"/>
        </w:tblCellMar>
      </w:tblPr>
      <w:tblGrid>
        <w:gridCol w:w="4581"/>
        <w:gridCol w:w="1806"/>
        <w:gridCol w:w="4300"/>
        <w:gridCol w:w="3079"/>
      </w:tblGrid>
      <w:tr w14:paraId="17DFF844">
        <w:tblPrEx>
          <w:tblCellMar>
            <w:top w:w="0" w:type="dxa"/>
            <w:left w:w="0" w:type="dxa"/>
            <w:bottom w:w="0" w:type="dxa"/>
            <w:right w:w="0" w:type="dxa"/>
          </w:tblCellMar>
        </w:tblPrEx>
        <w:trPr>
          <w:trHeight w:val="567" w:hRule="exact"/>
        </w:trPr>
        <w:tc>
          <w:tcPr>
            <w:tcW w:w="13766" w:type="dxa"/>
            <w:gridSpan w:val="4"/>
            <w:tcBorders>
              <w:top w:val="nil"/>
              <w:left w:val="nil"/>
              <w:bottom w:val="nil"/>
              <w:right w:val="nil"/>
            </w:tcBorders>
            <w:shd w:val="clear" w:color="auto" w:fill="auto"/>
            <w:noWrap/>
            <w:tcMar>
              <w:top w:w="15" w:type="dxa"/>
              <w:left w:w="15" w:type="dxa"/>
              <w:right w:w="15" w:type="dxa"/>
            </w:tcMar>
            <w:vAlign w:val="bottom"/>
          </w:tcPr>
          <w:p w14:paraId="2A3DE789">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收入支出决算总表</w:t>
            </w:r>
          </w:p>
        </w:tc>
      </w:tr>
      <w:tr w14:paraId="6C1955CB">
        <w:tblPrEx>
          <w:tblCellMar>
            <w:top w:w="0" w:type="dxa"/>
            <w:left w:w="0" w:type="dxa"/>
            <w:bottom w:w="0" w:type="dxa"/>
            <w:right w:w="0" w:type="dxa"/>
          </w:tblCellMar>
        </w:tblPrEx>
        <w:trPr>
          <w:trHeight w:val="567" w:hRule="exact"/>
        </w:trPr>
        <w:tc>
          <w:tcPr>
            <w:tcW w:w="4581" w:type="dxa"/>
            <w:tcBorders>
              <w:top w:val="nil"/>
              <w:left w:val="nil"/>
              <w:bottom w:val="nil"/>
              <w:right w:val="nil"/>
            </w:tcBorders>
            <w:shd w:val="clear" w:color="auto" w:fill="auto"/>
            <w:noWrap/>
            <w:tcMar>
              <w:top w:w="15" w:type="dxa"/>
              <w:left w:w="15" w:type="dxa"/>
              <w:right w:w="15" w:type="dxa"/>
            </w:tcMar>
            <w:vAlign w:val="bottom"/>
          </w:tcPr>
          <w:p w14:paraId="177E256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nil"/>
              <w:right w:val="nil"/>
            </w:tcBorders>
            <w:shd w:val="clear" w:color="auto" w:fill="auto"/>
            <w:noWrap/>
            <w:tcMar>
              <w:top w:w="15" w:type="dxa"/>
              <w:left w:w="15" w:type="dxa"/>
              <w:right w:w="15" w:type="dxa"/>
            </w:tcMar>
            <w:vAlign w:val="bottom"/>
          </w:tcPr>
          <w:p w14:paraId="6FD9D17C">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nil"/>
              <w:right w:val="nil"/>
            </w:tcBorders>
            <w:shd w:val="clear" w:color="auto" w:fill="auto"/>
            <w:noWrap/>
            <w:tcMar>
              <w:top w:w="15" w:type="dxa"/>
              <w:left w:w="15" w:type="dxa"/>
              <w:right w:w="15" w:type="dxa"/>
            </w:tcMar>
            <w:vAlign w:val="bottom"/>
          </w:tcPr>
          <w:p w14:paraId="753B9DC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3079" w:type="dxa"/>
            <w:tcBorders>
              <w:top w:val="nil"/>
              <w:left w:val="nil"/>
              <w:bottom w:val="nil"/>
              <w:right w:val="nil"/>
            </w:tcBorders>
            <w:shd w:val="clear" w:color="auto" w:fill="auto"/>
            <w:noWrap/>
            <w:tcMar>
              <w:top w:w="15" w:type="dxa"/>
              <w:left w:w="15" w:type="dxa"/>
              <w:right w:w="15" w:type="dxa"/>
            </w:tcMar>
            <w:vAlign w:val="bottom"/>
          </w:tcPr>
          <w:p w14:paraId="237CA738">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公开01表</w:t>
            </w:r>
          </w:p>
        </w:tc>
      </w:tr>
      <w:tr w14:paraId="564F31FB">
        <w:tblPrEx>
          <w:tblCellMar>
            <w:top w:w="0" w:type="dxa"/>
            <w:left w:w="0" w:type="dxa"/>
            <w:bottom w:w="0" w:type="dxa"/>
            <w:right w:w="0" w:type="dxa"/>
          </w:tblCellMar>
        </w:tblPrEx>
        <w:trPr>
          <w:trHeight w:val="567" w:hRule="exact"/>
        </w:trPr>
        <w:tc>
          <w:tcPr>
            <w:tcW w:w="6387" w:type="dxa"/>
            <w:gridSpan w:val="2"/>
            <w:tcBorders>
              <w:top w:val="nil"/>
              <w:left w:val="nil"/>
              <w:bottom w:val="nil"/>
              <w:right w:val="nil"/>
            </w:tcBorders>
            <w:shd w:val="clear" w:color="auto" w:fill="auto"/>
            <w:noWrap/>
            <w:tcMar>
              <w:top w:w="15" w:type="dxa"/>
              <w:left w:w="15" w:type="dxa"/>
              <w:right w:w="15" w:type="dxa"/>
            </w:tcMar>
            <w:vAlign w:val="bottom"/>
          </w:tcPr>
          <w:p w14:paraId="055706B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sz w:val="20"/>
                <w:u w:color="auto"/>
              </w:rPr>
              <w:t>中国共产党巫溪县委员会政法委员会</w:t>
            </w:r>
          </w:p>
        </w:tc>
        <w:tc>
          <w:tcPr>
            <w:tcW w:w="4300" w:type="dxa"/>
            <w:tcBorders>
              <w:top w:val="nil"/>
              <w:left w:val="nil"/>
              <w:bottom w:val="nil"/>
              <w:right w:val="nil"/>
            </w:tcBorders>
            <w:shd w:val="clear" w:color="auto" w:fill="auto"/>
            <w:noWrap/>
            <w:tcMar>
              <w:top w:w="15" w:type="dxa"/>
              <w:left w:w="15" w:type="dxa"/>
              <w:right w:w="15" w:type="dxa"/>
            </w:tcMar>
            <w:vAlign w:val="bottom"/>
          </w:tcPr>
          <w:p w14:paraId="3A2ECFE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2"/>
                <w:szCs w:val="22"/>
              </w:rPr>
            </w:pPr>
          </w:p>
        </w:tc>
        <w:tc>
          <w:tcPr>
            <w:tcW w:w="3079" w:type="dxa"/>
            <w:tcBorders>
              <w:top w:val="nil"/>
              <w:left w:val="nil"/>
              <w:bottom w:val="nil"/>
              <w:right w:val="nil"/>
            </w:tcBorders>
            <w:shd w:val="clear" w:color="auto" w:fill="auto"/>
            <w:noWrap/>
            <w:tcMar>
              <w:top w:w="15" w:type="dxa"/>
              <w:left w:w="15" w:type="dxa"/>
              <w:right w:w="15" w:type="dxa"/>
            </w:tcMar>
            <w:vAlign w:val="bottom"/>
          </w:tcPr>
          <w:p w14:paraId="61D732A2">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5C9C1587">
        <w:tblPrEx>
          <w:tblCellMar>
            <w:top w:w="0" w:type="dxa"/>
            <w:left w:w="0" w:type="dxa"/>
            <w:bottom w:w="0" w:type="dxa"/>
            <w:right w:w="0" w:type="dxa"/>
          </w:tblCellMar>
        </w:tblPrEx>
        <w:trPr>
          <w:trHeight w:val="425" w:hRule="exact"/>
        </w:trPr>
        <w:tc>
          <w:tcPr>
            <w:tcW w:w="638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86466">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收入</w:t>
            </w:r>
          </w:p>
        </w:tc>
        <w:tc>
          <w:tcPr>
            <w:tcW w:w="7379"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D3E0C5A">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支出</w:t>
            </w:r>
          </w:p>
        </w:tc>
      </w:tr>
      <w:tr w14:paraId="4A2E23E6">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8451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w:t>
            </w:r>
          </w:p>
        </w:tc>
        <w:tc>
          <w:tcPr>
            <w:tcW w:w="18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241A4E">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决算数</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E7064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功能分类科目</w:t>
            </w:r>
          </w:p>
        </w:tc>
        <w:tc>
          <w:tcPr>
            <w:tcW w:w="3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8B6366">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决算数</w:t>
            </w:r>
          </w:p>
        </w:tc>
      </w:tr>
      <w:tr w14:paraId="341C19C7">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7AA2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一、一般公共预算财政拨款收入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7634">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690.63</w:t>
            </w: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F82B5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一、一般公共服务支出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2D8E">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537.16</w:t>
            </w:r>
            <w:r>
              <w:rPr>
                <w:rFonts w:hint="eastAsia" w:ascii="Times New Roman" w:hAnsi="Times New Roman" w:eastAsia="方正仿宋_GBK" w:cs="方正仿宋_GBK"/>
                <w:color w:val="000000"/>
                <w:sz w:val="20"/>
                <w:u w:color="auto"/>
              </w:rPr>
              <w:t xml:space="preserve"> </w:t>
            </w:r>
          </w:p>
        </w:tc>
      </w:tr>
      <w:tr w14:paraId="55CA8184">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5A084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二、政府性基金预算财政拨款收入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F4BB">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60920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二、外交支出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B3EB3">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86E04AA">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311A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三、国有资本经营预算财政拨款收入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198E">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FA7A5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三、国防支出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70BC">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28ED1AB">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8B70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四、上级补助收入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A3CC">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67AA5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四、公共安全支出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9DCBD">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1B3D377B">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3EC6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五、事业收入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4194">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AEE44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五、教育支出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F03F4">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562A702">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DFFD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六、经营收入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13A1">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A5296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六、科学技术支出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944B">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8A3C2DF">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122E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七、附属单位上缴收入</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19E0E">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B8E7E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七、文化旅游体育与传媒支出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5381">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1B321D9">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0BE6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八、其他收入</w:t>
            </w:r>
          </w:p>
        </w:tc>
        <w:tc>
          <w:tcPr>
            <w:tcW w:w="1806" w:type="dxa"/>
            <w:tcBorders>
              <w:top w:val="nil"/>
              <w:left w:val="nil"/>
              <w:bottom w:val="nil"/>
              <w:right w:val="single" w:color="000000" w:sz="4" w:space="0"/>
            </w:tcBorders>
            <w:shd w:val="clear" w:color="auto" w:fill="auto"/>
            <w:noWrap/>
            <w:tcMar>
              <w:top w:w="15" w:type="dxa"/>
              <w:left w:w="15" w:type="dxa"/>
              <w:right w:w="15" w:type="dxa"/>
            </w:tcMar>
            <w:vAlign w:val="center"/>
          </w:tcPr>
          <w:p w14:paraId="15360BE9">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BB8EF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八、社会保障和就业支出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7CC1">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100.83</w:t>
            </w:r>
            <w:r>
              <w:rPr>
                <w:rFonts w:hint="eastAsia" w:ascii="Times New Roman" w:hAnsi="Times New Roman" w:eastAsia="方正仿宋_GBK" w:cs="方正仿宋_GBK"/>
                <w:color w:val="000000"/>
                <w:sz w:val="20"/>
                <w:u w:color="auto"/>
              </w:rPr>
              <w:t xml:space="preserve"> </w:t>
            </w:r>
          </w:p>
        </w:tc>
      </w:tr>
      <w:tr w14:paraId="127F7FA1">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7A66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D76981">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5AD49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九、卫生健康支出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B18E9">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17.39</w:t>
            </w:r>
            <w:r>
              <w:rPr>
                <w:rFonts w:hint="eastAsia" w:ascii="Times New Roman" w:hAnsi="Times New Roman" w:eastAsia="方正仿宋_GBK" w:cs="方正仿宋_GBK"/>
                <w:color w:val="000000"/>
                <w:sz w:val="20"/>
                <w:u w:color="auto"/>
              </w:rPr>
              <w:t xml:space="preserve"> </w:t>
            </w:r>
          </w:p>
        </w:tc>
      </w:tr>
      <w:tr w14:paraId="75613B85">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01A9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4E1D2">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3071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十、节能环保支出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B612F">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E76B590">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78AD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0B6A4">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F82F9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十一、城乡社区支出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55247">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09B60D5">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3B88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750F7">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86411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十二、农林水支出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60E4">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36A7D203">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6698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45E5">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70F1F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十三、交通运输支出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97A3">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D8E8CD7">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9145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A370">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4E614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十四、资源勘探工业信息等支出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0E36">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6EEAB1F">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D516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80B1F">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9B8CC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十五、商业服务业等支出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EC5A">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1AF184A3">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6EFE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F9B7F">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329C5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十六、金融支出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AC69">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1438C2D9">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5AED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4774">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E132A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十七、援助其他地区支出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2C0D">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6B836D5">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07E7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BF2E">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CC52E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十八、自然资源海洋气象等支出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2897">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34DAD944">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10B69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43EC">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1741F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十九、住房保障支出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EBA61">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r>
      <w:tr w14:paraId="74F6B898">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ADC1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F3044">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4BFDE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二十、粮油物资储备支出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4B638">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6C21A9E">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9C82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74BB">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631DE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二十一、国有资本经营预算支出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69E66">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A5FB997">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2F3C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408A1">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DA6BB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二十二、灾害防治及应急管理支出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9CF6E">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100AB03">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1AE1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16F7">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47A40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二十三、其他支出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935F">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25BDAECC">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F035C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8DCA2">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F08D6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二十四、债务还本支出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5D81">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F5E9A06">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154B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52363">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C2A8F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二十五、债务付息支出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20F3">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BB44634">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B3CE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BFDDF">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20"/>
                <w:szCs w:val="20"/>
              </w:rPr>
            </w:pP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9B5D9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二十六、抗疫特别国债安排的支出</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2728B">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811A4E0">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AFAD3">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本年收入合计</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4B93">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690.63</w:t>
            </w: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DCA15C">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本年支出合计</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CC53">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690.63</w:t>
            </w:r>
            <w:r>
              <w:rPr>
                <w:rFonts w:hint="eastAsia" w:ascii="Times New Roman" w:hAnsi="Times New Roman" w:eastAsia="方正仿宋_GBK" w:cs="方正仿宋_GBK"/>
                <w:color w:val="000000"/>
                <w:sz w:val="20"/>
                <w:u w:color="auto"/>
              </w:rPr>
              <w:t xml:space="preserve"> </w:t>
            </w:r>
          </w:p>
        </w:tc>
      </w:tr>
      <w:tr w14:paraId="6FADE17D">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9E3E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使用非财政拨款结余和专用结余</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116F">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2FC8E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结余分配</w:t>
            </w:r>
          </w:p>
        </w:tc>
        <w:tc>
          <w:tcPr>
            <w:tcW w:w="3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CCB93">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7DEC6DB">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C21C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年初结转和结余</w:t>
            </w:r>
          </w:p>
        </w:tc>
        <w:tc>
          <w:tcPr>
            <w:tcW w:w="1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FC6BD">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9FE46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年末结转和结余</w:t>
            </w:r>
          </w:p>
        </w:tc>
        <w:tc>
          <w:tcPr>
            <w:tcW w:w="307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4975D6">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14AB771C">
        <w:tblPrEx>
          <w:tblCellMar>
            <w:top w:w="0" w:type="dxa"/>
            <w:left w:w="0" w:type="dxa"/>
            <w:bottom w:w="0" w:type="dxa"/>
            <w:right w:w="0" w:type="dxa"/>
          </w:tblCellMar>
        </w:tblPrEx>
        <w:trPr>
          <w:trHeight w:val="425" w:hRule="exact"/>
        </w:trPr>
        <w:tc>
          <w:tcPr>
            <w:tcW w:w="4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A3A98">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总计</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A5A2">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690.63</w:t>
            </w:r>
            <w:r>
              <w:rPr>
                <w:rFonts w:hint="eastAsia" w:ascii="Times New Roman" w:hAnsi="Times New Roman" w:eastAsia="方正仿宋_GBK" w:cs="方正仿宋_GBK"/>
                <w:color w:val="000000"/>
                <w:sz w:val="20"/>
                <w:u w:color="auto"/>
              </w:rPr>
              <w:t xml:space="preserve"> </w:t>
            </w:r>
          </w:p>
        </w:tc>
        <w:tc>
          <w:tcPr>
            <w:tcW w:w="4300"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3C0A8D6">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总计</w:t>
            </w:r>
          </w:p>
        </w:tc>
        <w:tc>
          <w:tcPr>
            <w:tcW w:w="30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1B281">
            <w:pPr>
              <w:keepNext w:val="0"/>
              <w:keepLines w:val="0"/>
              <w:pageBreakBefore w:val="0"/>
              <w:kinsoku/>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690.63</w:t>
            </w:r>
            <w:r>
              <w:rPr>
                <w:rFonts w:hint="eastAsia" w:ascii="Times New Roman" w:hAnsi="Times New Roman" w:eastAsia="方正仿宋_GBK" w:cs="方正仿宋_GBK"/>
                <w:color w:val="000000"/>
                <w:sz w:val="20"/>
                <w:u w:color="auto"/>
              </w:rPr>
              <w:t xml:space="preserve"> </w:t>
            </w:r>
          </w:p>
        </w:tc>
      </w:tr>
    </w:tbl>
    <w:p w14:paraId="7770065E">
      <w:pPr>
        <w:keepNext w:val="0"/>
        <w:keepLines w:val="0"/>
        <w:pageBreakBefore w:val="0"/>
        <w:widowControl/>
        <w:kinsoku/>
        <w:wordWrap/>
        <w:overflowPunct/>
        <w:topLinePunct w:val="0"/>
        <w:autoSpaceDE/>
        <w:autoSpaceDN/>
        <w:bidi w:val="0"/>
        <w:adjustRightInd/>
        <w:snapToGrid/>
        <w:spacing w:beforeAutospacing="0" w:line="300" w:lineRule="exact"/>
        <w:textAlignment w:val="auto"/>
        <w:rPr>
          <w:rFonts w:hint="eastAsia" w:ascii="Times New Roman" w:hAnsi="Times New Roman" w:eastAsia="方正仿宋_GBK" w:cs="方正仿宋_GBK"/>
          <w:sz w:val="20"/>
          <w:szCs w:val="20"/>
        </w:rPr>
        <w:sectPr>
          <w:pgSz w:w="16783" w:h="11850" w:orient="landscape"/>
          <w:pgMar w:top="2098" w:right="1474" w:bottom="1474" w:left="1587" w:header="0" w:footer="283" w:gutter="0"/>
          <w:pgNumType w:fmt="numberInDash"/>
          <w:cols w:space="0" w:num="1"/>
          <w:rtlGutter w:val="0"/>
          <w:docGrid w:type="lines" w:linePitch="331" w:charSpace="0"/>
        </w:sectPr>
      </w:pPr>
      <w:r>
        <w:rPr>
          <w:rFonts w:hint="eastAsia" w:ascii="Times New Roman" w:hAnsi="Times New Roman" w:eastAsia="方正仿宋_GBK" w:cs="方正仿宋_GBK"/>
          <w:sz w:val="20"/>
          <w:szCs w:val="20"/>
        </w:rPr>
        <w:t>备注：1.本表反映部门本年度的总收支和年末结转结余情况。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p>
    <w:p w14:paraId="3C78E23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0"/>
          <w:szCs w:val="20"/>
        </w:rPr>
      </w:pPr>
    </w:p>
    <w:tbl>
      <w:tblPr>
        <w:tblStyle w:val="7"/>
        <w:tblW w:w="13754" w:type="dxa"/>
        <w:tblInd w:w="0" w:type="dxa"/>
        <w:tblLayout w:type="fixed"/>
        <w:tblCellMar>
          <w:top w:w="0" w:type="dxa"/>
          <w:left w:w="0" w:type="dxa"/>
          <w:bottom w:w="0" w:type="dxa"/>
          <w:right w:w="0" w:type="dxa"/>
        </w:tblCellMar>
      </w:tblPr>
      <w:tblGrid>
        <w:gridCol w:w="1639"/>
        <w:gridCol w:w="2818"/>
        <w:gridCol w:w="1003"/>
        <w:gridCol w:w="1103"/>
        <w:gridCol w:w="1103"/>
        <w:gridCol w:w="1103"/>
        <w:gridCol w:w="1377"/>
        <w:gridCol w:w="1014"/>
        <w:gridCol w:w="1288"/>
        <w:gridCol w:w="1306"/>
      </w:tblGrid>
      <w:tr w14:paraId="62F19C2C">
        <w:tblPrEx>
          <w:tblCellMar>
            <w:top w:w="0" w:type="dxa"/>
            <w:left w:w="0" w:type="dxa"/>
            <w:bottom w:w="0" w:type="dxa"/>
            <w:right w:w="0" w:type="dxa"/>
          </w:tblCellMar>
        </w:tblPrEx>
        <w:trPr>
          <w:trHeight w:val="641" w:hRule="atLeast"/>
        </w:trPr>
        <w:tc>
          <w:tcPr>
            <w:tcW w:w="13754" w:type="dxa"/>
            <w:gridSpan w:val="10"/>
            <w:tcBorders>
              <w:top w:val="nil"/>
              <w:left w:val="nil"/>
              <w:bottom w:val="nil"/>
              <w:right w:val="nil"/>
            </w:tcBorders>
            <w:shd w:val="clear" w:color="auto" w:fill="auto"/>
            <w:noWrap/>
            <w:tcMar>
              <w:top w:w="15" w:type="dxa"/>
              <w:left w:w="15" w:type="dxa"/>
              <w:right w:w="15" w:type="dxa"/>
            </w:tcMar>
            <w:vAlign w:val="bottom"/>
          </w:tcPr>
          <w:p w14:paraId="2C7E4579">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收入决算表</w:t>
            </w:r>
          </w:p>
        </w:tc>
      </w:tr>
      <w:tr w14:paraId="741F6F58">
        <w:tblPrEx>
          <w:tblCellMar>
            <w:top w:w="0" w:type="dxa"/>
            <w:left w:w="0" w:type="dxa"/>
            <w:bottom w:w="0" w:type="dxa"/>
            <w:right w:w="0" w:type="dxa"/>
          </w:tblCellMar>
        </w:tblPrEx>
        <w:trPr>
          <w:trHeight w:val="328" w:hRule="atLeast"/>
        </w:trPr>
        <w:tc>
          <w:tcPr>
            <w:tcW w:w="5460" w:type="dxa"/>
            <w:gridSpan w:val="3"/>
            <w:vMerge w:val="restart"/>
            <w:tcBorders>
              <w:top w:val="nil"/>
              <w:left w:val="nil"/>
              <w:right w:val="nil"/>
            </w:tcBorders>
            <w:shd w:val="clear" w:color="auto" w:fill="auto"/>
            <w:noWrap/>
            <w:tcMar>
              <w:top w:w="15" w:type="dxa"/>
              <w:left w:w="15" w:type="dxa"/>
              <w:right w:w="15" w:type="dxa"/>
            </w:tcMar>
            <w:vAlign w:val="bottom"/>
          </w:tcPr>
          <w:p w14:paraId="2ABA737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sz w:val="20"/>
                <w:u w:color="auto"/>
              </w:rPr>
              <w:t>中国共产党巫溪县委员会政法委员会</w:t>
            </w:r>
          </w:p>
        </w:tc>
        <w:tc>
          <w:tcPr>
            <w:tcW w:w="1103" w:type="dxa"/>
            <w:tcBorders>
              <w:top w:val="nil"/>
              <w:left w:val="nil"/>
              <w:bottom w:val="nil"/>
              <w:right w:val="nil"/>
            </w:tcBorders>
            <w:shd w:val="clear" w:color="auto" w:fill="auto"/>
            <w:noWrap/>
            <w:tcMar>
              <w:top w:w="15" w:type="dxa"/>
              <w:left w:w="15" w:type="dxa"/>
              <w:right w:w="15" w:type="dxa"/>
            </w:tcMar>
            <w:vAlign w:val="bottom"/>
          </w:tcPr>
          <w:p w14:paraId="5304D36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103" w:type="dxa"/>
            <w:tcBorders>
              <w:top w:val="nil"/>
              <w:left w:val="nil"/>
              <w:bottom w:val="nil"/>
              <w:right w:val="nil"/>
            </w:tcBorders>
            <w:shd w:val="clear" w:color="auto" w:fill="auto"/>
            <w:noWrap/>
            <w:tcMar>
              <w:top w:w="15" w:type="dxa"/>
              <w:left w:w="15" w:type="dxa"/>
              <w:right w:w="15" w:type="dxa"/>
            </w:tcMar>
            <w:vAlign w:val="bottom"/>
          </w:tcPr>
          <w:p w14:paraId="01DC7AD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103" w:type="dxa"/>
            <w:tcBorders>
              <w:top w:val="nil"/>
              <w:left w:val="nil"/>
              <w:bottom w:val="nil"/>
              <w:right w:val="nil"/>
            </w:tcBorders>
            <w:shd w:val="clear" w:color="auto" w:fill="auto"/>
            <w:noWrap/>
            <w:tcMar>
              <w:top w:w="15" w:type="dxa"/>
              <w:left w:w="15" w:type="dxa"/>
              <w:right w:w="15" w:type="dxa"/>
            </w:tcMar>
            <w:vAlign w:val="bottom"/>
          </w:tcPr>
          <w:p w14:paraId="407C146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377" w:type="dxa"/>
            <w:tcBorders>
              <w:top w:val="nil"/>
              <w:left w:val="nil"/>
              <w:bottom w:val="nil"/>
              <w:right w:val="nil"/>
            </w:tcBorders>
            <w:shd w:val="clear" w:color="auto" w:fill="auto"/>
            <w:noWrap/>
            <w:tcMar>
              <w:top w:w="15" w:type="dxa"/>
              <w:left w:w="15" w:type="dxa"/>
              <w:right w:w="15" w:type="dxa"/>
            </w:tcMar>
            <w:vAlign w:val="bottom"/>
          </w:tcPr>
          <w:p w14:paraId="63D570D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014" w:type="dxa"/>
            <w:tcBorders>
              <w:top w:val="nil"/>
              <w:left w:val="nil"/>
              <w:bottom w:val="nil"/>
              <w:right w:val="nil"/>
            </w:tcBorders>
            <w:shd w:val="clear" w:color="auto" w:fill="auto"/>
            <w:noWrap/>
            <w:tcMar>
              <w:top w:w="15" w:type="dxa"/>
              <w:left w:w="15" w:type="dxa"/>
              <w:right w:w="15" w:type="dxa"/>
            </w:tcMar>
            <w:vAlign w:val="bottom"/>
          </w:tcPr>
          <w:p w14:paraId="30D41A6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288" w:type="dxa"/>
            <w:tcBorders>
              <w:top w:val="nil"/>
              <w:left w:val="nil"/>
              <w:bottom w:val="nil"/>
              <w:right w:val="nil"/>
            </w:tcBorders>
            <w:shd w:val="clear" w:color="auto" w:fill="auto"/>
            <w:noWrap/>
            <w:tcMar>
              <w:top w:w="15" w:type="dxa"/>
              <w:left w:w="15" w:type="dxa"/>
              <w:right w:w="15" w:type="dxa"/>
            </w:tcMar>
            <w:vAlign w:val="bottom"/>
          </w:tcPr>
          <w:p w14:paraId="6E9559E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306" w:type="dxa"/>
            <w:tcBorders>
              <w:top w:val="nil"/>
              <w:left w:val="nil"/>
              <w:bottom w:val="nil"/>
              <w:right w:val="nil"/>
            </w:tcBorders>
            <w:shd w:val="clear" w:color="auto" w:fill="auto"/>
            <w:noWrap/>
            <w:tcMar>
              <w:top w:w="15" w:type="dxa"/>
              <w:left w:w="15" w:type="dxa"/>
              <w:right w:w="15" w:type="dxa"/>
            </w:tcMar>
            <w:vAlign w:val="bottom"/>
          </w:tcPr>
          <w:p w14:paraId="6CB68C95">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公开02表</w:t>
            </w:r>
          </w:p>
        </w:tc>
      </w:tr>
      <w:tr w14:paraId="79EC34D5">
        <w:tblPrEx>
          <w:tblCellMar>
            <w:top w:w="0" w:type="dxa"/>
            <w:left w:w="0" w:type="dxa"/>
            <w:bottom w:w="0" w:type="dxa"/>
            <w:right w:w="0" w:type="dxa"/>
          </w:tblCellMar>
        </w:tblPrEx>
        <w:trPr>
          <w:trHeight w:val="215" w:hRule="atLeast"/>
        </w:trPr>
        <w:tc>
          <w:tcPr>
            <w:tcW w:w="5460" w:type="dxa"/>
            <w:gridSpan w:val="3"/>
            <w:vMerge w:val="continue"/>
            <w:tcBorders>
              <w:left w:val="nil"/>
              <w:bottom w:val="nil"/>
              <w:right w:val="nil"/>
            </w:tcBorders>
            <w:shd w:val="clear" w:color="auto" w:fill="auto"/>
            <w:noWrap/>
            <w:tcMar>
              <w:top w:w="15" w:type="dxa"/>
              <w:left w:w="15" w:type="dxa"/>
              <w:right w:w="15" w:type="dxa"/>
            </w:tcMar>
            <w:vAlign w:val="bottom"/>
          </w:tcPr>
          <w:p w14:paraId="27F6B98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103" w:type="dxa"/>
            <w:tcBorders>
              <w:top w:val="nil"/>
              <w:left w:val="nil"/>
              <w:bottom w:val="nil"/>
              <w:right w:val="nil"/>
            </w:tcBorders>
            <w:shd w:val="clear" w:color="auto" w:fill="auto"/>
            <w:noWrap/>
            <w:tcMar>
              <w:top w:w="15" w:type="dxa"/>
              <w:left w:w="15" w:type="dxa"/>
              <w:right w:w="15" w:type="dxa"/>
            </w:tcMar>
            <w:vAlign w:val="bottom"/>
          </w:tcPr>
          <w:p w14:paraId="548DD0C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103" w:type="dxa"/>
            <w:tcBorders>
              <w:top w:val="nil"/>
              <w:left w:val="nil"/>
              <w:bottom w:val="nil"/>
              <w:right w:val="nil"/>
            </w:tcBorders>
            <w:shd w:val="clear" w:color="auto" w:fill="auto"/>
            <w:noWrap/>
            <w:tcMar>
              <w:top w:w="15" w:type="dxa"/>
              <w:left w:w="15" w:type="dxa"/>
              <w:right w:w="15" w:type="dxa"/>
            </w:tcMar>
            <w:vAlign w:val="bottom"/>
          </w:tcPr>
          <w:p w14:paraId="15C209A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103" w:type="dxa"/>
            <w:tcBorders>
              <w:top w:val="nil"/>
              <w:left w:val="nil"/>
              <w:bottom w:val="nil"/>
              <w:right w:val="nil"/>
            </w:tcBorders>
            <w:shd w:val="clear" w:color="auto" w:fill="auto"/>
            <w:noWrap/>
            <w:tcMar>
              <w:top w:w="15" w:type="dxa"/>
              <w:left w:w="15" w:type="dxa"/>
              <w:right w:w="15" w:type="dxa"/>
            </w:tcMar>
            <w:vAlign w:val="bottom"/>
          </w:tcPr>
          <w:p w14:paraId="524C8C1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377" w:type="dxa"/>
            <w:tcBorders>
              <w:top w:val="nil"/>
              <w:left w:val="nil"/>
              <w:bottom w:val="nil"/>
              <w:right w:val="nil"/>
            </w:tcBorders>
            <w:shd w:val="clear" w:color="auto" w:fill="auto"/>
            <w:noWrap/>
            <w:tcMar>
              <w:top w:w="15" w:type="dxa"/>
              <w:left w:w="15" w:type="dxa"/>
              <w:right w:w="15" w:type="dxa"/>
            </w:tcMar>
            <w:vAlign w:val="bottom"/>
          </w:tcPr>
          <w:p w14:paraId="61FD263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014" w:type="dxa"/>
            <w:tcBorders>
              <w:top w:val="nil"/>
              <w:left w:val="nil"/>
              <w:bottom w:val="nil"/>
              <w:right w:val="nil"/>
            </w:tcBorders>
            <w:shd w:val="clear" w:color="auto" w:fill="auto"/>
            <w:noWrap/>
            <w:tcMar>
              <w:top w:w="15" w:type="dxa"/>
              <w:left w:w="15" w:type="dxa"/>
              <w:right w:w="15" w:type="dxa"/>
            </w:tcMar>
            <w:vAlign w:val="bottom"/>
          </w:tcPr>
          <w:p w14:paraId="5A3FCDF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288" w:type="dxa"/>
            <w:tcBorders>
              <w:top w:val="nil"/>
              <w:left w:val="nil"/>
              <w:bottom w:val="nil"/>
              <w:right w:val="nil"/>
            </w:tcBorders>
            <w:shd w:val="clear" w:color="auto" w:fill="auto"/>
            <w:noWrap/>
            <w:tcMar>
              <w:top w:w="15" w:type="dxa"/>
              <w:left w:w="15" w:type="dxa"/>
              <w:right w:w="15" w:type="dxa"/>
            </w:tcMar>
            <w:vAlign w:val="bottom"/>
          </w:tcPr>
          <w:p w14:paraId="228FD0F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306" w:type="dxa"/>
            <w:tcBorders>
              <w:top w:val="nil"/>
              <w:left w:val="nil"/>
              <w:bottom w:val="nil"/>
              <w:right w:val="nil"/>
            </w:tcBorders>
            <w:shd w:val="clear" w:color="auto" w:fill="auto"/>
            <w:noWrap/>
            <w:tcMar>
              <w:top w:w="15" w:type="dxa"/>
              <w:left w:w="15" w:type="dxa"/>
              <w:right w:w="15" w:type="dxa"/>
            </w:tcMar>
            <w:vAlign w:val="bottom"/>
          </w:tcPr>
          <w:p w14:paraId="2B90A631">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4C0F1F26">
        <w:tblPrEx>
          <w:tblCellMar>
            <w:top w:w="0" w:type="dxa"/>
            <w:left w:w="0" w:type="dxa"/>
            <w:bottom w:w="0" w:type="dxa"/>
            <w:right w:w="0" w:type="dxa"/>
          </w:tblCellMar>
        </w:tblPrEx>
        <w:trPr>
          <w:trHeight w:val="431" w:hRule="atLeast"/>
        </w:trPr>
        <w:tc>
          <w:tcPr>
            <w:tcW w:w="4457"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2DBAEA09">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0C14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本年收入合计</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E25D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财政拨款收入</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6ABC2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上级补助收入</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D02BCAE">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事业收入</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73B0B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经营收入</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A7EDF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附属单位上缴收入</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1EE93">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其他收入</w:t>
            </w:r>
          </w:p>
        </w:tc>
      </w:tr>
      <w:tr w14:paraId="6E824E6B">
        <w:tblPrEx>
          <w:tblCellMar>
            <w:top w:w="0" w:type="dxa"/>
            <w:left w:w="0" w:type="dxa"/>
            <w:bottom w:w="0" w:type="dxa"/>
            <w:right w:w="0" w:type="dxa"/>
          </w:tblCellMar>
        </w:tblPrEx>
        <w:trPr>
          <w:trHeight w:val="334" w:hRule="atLeast"/>
        </w:trPr>
        <w:tc>
          <w:tcPr>
            <w:tcW w:w="1639"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08277E">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功能分类科目编码</w:t>
            </w:r>
          </w:p>
        </w:tc>
        <w:tc>
          <w:tcPr>
            <w:tcW w:w="281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2A6BF9E">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项目（按“项”级功能分类科目）</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AFF97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4F302">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35783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9C508">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小计</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DEEF8">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其中：教育收费</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DD8E1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9A5A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6FDC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73CF4BC0">
        <w:tblPrEx>
          <w:tblCellMar>
            <w:top w:w="0" w:type="dxa"/>
            <w:left w:w="0" w:type="dxa"/>
            <w:bottom w:w="0" w:type="dxa"/>
            <w:right w:w="0" w:type="dxa"/>
          </w:tblCellMar>
        </w:tblPrEx>
        <w:trPr>
          <w:trHeight w:val="334" w:hRule="atLeast"/>
        </w:trPr>
        <w:tc>
          <w:tcPr>
            <w:tcW w:w="1639"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B494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81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2CF954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C9B90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40CC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CB9F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2A27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A34F0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F0D4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3276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377B2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243B1879">
        <w:tblPrEx>
          <w:tblCellMar>
            <w:top w:w="0" w:type="dxa"/>
            <w:left w:w="0" w:type="dxa"/>
            <w:bottom w:w="0" w:type="dxa"/>
            <w:right w:w="0" w:type="dxa"/>
          </w:tblCellMar>
        </w:tblPrEx>
        <w:trPr>
          <w:trHeight w:val="334" w:hRule="atLeast"/>
        </w:trPr>
        <w:tc>
          <w:tcPr>
            <w:tcW w:w="1639"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1710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81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8F9813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1F0E6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F855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BCC6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786AA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BFB93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120A9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33DA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E64F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46122845">
        <w:tblPrEx>
          <w:tblCellMar>
            <w:top w:w="0" w:type="dxa"/>
            <w:left w:w="0" w:type="dxa"/>
            <w:bottom w:w="0" w:type="dxa"/>
            <w:right w:w="0" w:type="dxa"/>
          </w:tblCellMar>
        </w:tblPrEx>
        <w:trPr>
          <w:trHeight w:val="312" w:hRule="atLeast"/>
        </w:trPr>
        <w:tc>
          <w:tcPr>
            <w:tcW w:w="1639"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D1B7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81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8754DF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C6C6B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EE15D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853A7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7C4E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A9A0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98065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03D11">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5BE1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19FDC82D">
        <w:tblPrEx>
          <w:tblCellMar>
            <w:top w:w="0" w:type="dxa"/>
            <w:left w:w="0" w:type="dxa"/>
            <w:bottom w:w="0" w:type="dxa"/>
            <w:right w:w="0" w:type="dxa"/>
          </w:tblCellMar>
        </w:tblPrEx>
        <w:trPr>
          <w:trHeight w:val="338" w:hRule="atLeast"/>
        </w:trPr>
        <w:tc>
          <w:tcPr>
            <w:tcW w:w="445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15537">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10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467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690.63</w:t>
            </w:r>
            <w:r>
              <w:rPr>
                <w:rFonts w:hint="eastAsia" w:ascii="Times New Roman" w:hAnsi="Times New Roman" w:eastAsia="方正仿宋_GBK" w:cs="方正仿宋_GBK"/>
                <w:b/>
                <w:color w:val="000000"/>
                <w:sz w:val="20"/>
                <w:u w:color="auto"/>
              </w:rPr>
              <w:t xml:space="preserve"> </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BE93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690.63</w:t>
            </w:r>
            <w:r>
              <w:rPr>
                <w:rFonts w:hint="eastAsia" w:ascii="Times New Roman" w:hAnsi="Times New Roman" w:eastAsia="方正仿宋_GBK" w:cs="方正仿宋_GBK"/>
                <w:b/>
                <w:color w:val="000000"/>
                <w:sz w:val="20"/>
                <w:u w:color="auto"/>
              </w:rPr>
              <w:t xml:space="preserve"> </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A6B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276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D6A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0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677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64C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B00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r>
      <w:tr w14:paraId="1A089142">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72A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B3D9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一般公共服务支出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8A5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D2E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B3A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361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F24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E4E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5E7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EF8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A38E043">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FD5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20136</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D58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其他共产党事务支出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2A7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067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6A9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263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CD2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DAF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BB3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60D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9EDDCAD">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896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2013601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5D42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行政运行</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6C1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292.54</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7FC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292.54</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C63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5A6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881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BD6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8C7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790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65A086A">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B33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2013650</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07A4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事业运行</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A23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41.22</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937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41.22</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4D7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A8B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482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937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E67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A02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C155219">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842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2013699</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0C0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其他共产党事务支出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E4E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203.40</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30E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203.40</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F8D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64C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104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0A3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087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9A0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3229D2D">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202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5F2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社会保障和就业支出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28C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100.83</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630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100.83</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2B5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854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002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01C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839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59E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37B7B8F">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BAE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20805</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5D97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行政事业单位养老支出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38B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100.18</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7C2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100.18</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2D1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91B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4F3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6B2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57B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A7C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6D2A158">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AD8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181F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行政单位离退休</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ED5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29.10</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833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29.10</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D7C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6FF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157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F14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D14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615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2355D00">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4C1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2080505</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DE3E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机关事业单位基本养老保险缴费支出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A0A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51.75</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966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51.75</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BD4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C4A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C78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86E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2EF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848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4F5352D">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141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2080506</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196A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机关事业单位职业年金缴费支出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2F7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19.32</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210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19.32</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156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382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018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C8A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6DB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B3D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7F25316">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9E3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20808</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143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抚恤</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826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0.66</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E92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0.66</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CDD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855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1F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6A1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9A5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0A8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9426B03">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EA6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2080801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76B0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死亡抚恤</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D32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0.66</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5BF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0.66</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E57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456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229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2EC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1F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98D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48EE8E0">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C3F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210</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387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卫生健康支出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D17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436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7F0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D79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2A4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19A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E1D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43B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409EDFE">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B47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21011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E65A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行政事业单位医疗</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439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86B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325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53A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2E7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7DF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A23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E08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8755022">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634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2101101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0CE2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行政单位医疗</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B05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15.21</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962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15.21</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61D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A74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22C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5DA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114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57D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19342EE1">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146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2101102</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6D6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事业单位医疗</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A25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2.19</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96E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2.19</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74E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F60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46D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E90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62E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E59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2B7A5316">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8B9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221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16D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住房保障支出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013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4EB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7C4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984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8A1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097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CF6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BF9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1FF6E040">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7FE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22102</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AEE6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住房改革支出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55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685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F88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CA3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D62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6BC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4C8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867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38F6C0D">
        <w:tblPrEx>
          <w:tblCellMar>
            <w:top w:w="0" w:type="dxa"/>
            <w:left w:w="0" w:type="dxa"/>
            <w:bottom w:w="0" w:type="dxa"/>
            <w:right w:w="0" w:type="dxa"/>
          </w:tblCellMar>
        </w:tblPrEx>
        <w:trPr>
          <w:trHeight w:val="510" w:hRule="exact"/>
        </w:trPr>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1DF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2210201</w:t>
            </w:r>
          </w:p>
        </w:tc>
        <w:tc>
          <w:tcPr>
            <w:tcW w:w="2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A48A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住房公积金</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03E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72E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3D8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7BC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0DD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001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ACD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CF4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bl>
    <w:p w14:paraId="2BC821B3">
      <w:pPr>
        <w:keepNext w:val="0"/>
        <w:keepLines w:val="0"/>
        <w:pageBreakBefore w:val="0"/>
        <w:kinsoku/>
        <w:overflowPunct/>
        <w:topLinePunct w:val="0"/>
        <w:autoSpaceDN/>
        <w:bidi w:val="0"/>
        <w:spacing w:beforeAutospacing="0" w:line="600" w:lineRule="exact"/>
        <w:ind w:left="600" w:hanging="600" w:hangingChars="300"/>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备注：1.本表反映部门本年度取得的各项收入情况。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2.本套报表金额单位转换时可能存在尾数误差。</w:t>
      </w:r>
      <w:r>
        <w:rPr>
          <w:rFonts w:hint="eastAsia" w:ascii="Times New Roman" w:hAnsi="Times New Roman" w:eastAsia="方正仿宋_GBK" w:cs="方正仿宋_GBK"/>
          <w:sz w:val="20"/>
          <w:szCs w:val="20"/>
        </w:rPr>
        <w:br w:type="page"/>
      </w:r>
    </w:p>
    <w:tbl>
      <w:tblPr>
        <w:tblStyle w:val="7"/>
        <w:tblW w:w="13752" w:type="dxa"/>
        <w:tblInd w:w="0" w:type="dxa"/>
        <w:tblLayout w:type="fixed"/>
        <w:tblCellMar>
          <w:top w:w="0" w:type="dxa"/>
          <w:left w:w="0" w:type="dxa"/>
          <w:bottom w:w="0" w:type="dxa"/>
          <w:right w:w="0" w:type="dxa"/>
        </w:tblCellMar>
      </w:tblPr>
      <w:tblGrid>
        <w:gridCol w:w="1637"/>
        <w:gridCol w:w="3230"/>
        <w:gridCol w:w="1478"/>
        <w:gridCol w:w="1478"/>
        <w:gridCol w:w="1479"/>
        <w:gridCol w:w="1465"/>
        <w:gridCol w:w="1465"/>
        <w:gridCol w:w="1520"/>
      </w:tblGrid>
      <w:tr w14:paraId="20151A4A">
        <w:tblPrEx>
          <w:tblCellMar>
            <w:top w:w="0" w:type="dxa"/>
            <w:left w:w="0" w:type="dxa"/>
            <w:bottom w:w="0" w:type="dxa"/>
            <w:right w:w="0" w:type="dxa"/>
          </w:tblCellMar>
        </w:tblPrEx>
        <w:trPr>
          <w:trHeight w:val="654" w:hRule="atLeast"/>
        </w:trPr>
        <w:tc>
          <w:tcPr>
            <w:tcW w:w="13752" w:type="dxa"/>
            <w:gridSpan w:val="8"/>
            <w:tcBorders>
              <w:top w:val="nil"/>
              <w:left w:val="nil"/>
              <w:bottom w:val="nil"/>
              <w:right w:val="nil"/>
            </w:tcBorders>
            <w:shd w:val="clear" w:color="auto" w:fill="auto"/>
            <w:noWrap/>
            <w:tcMar>
              <w:top w:w="15" w:type="dxa"/>
              <w:left w:w="15" w:type="dxa"/>
              <w:right w:w="15" w:type="dxa"/>
            </w:tcMar>
            <w:vAlign w:val="bottom"/>
          </w:tcPr>
          <w:p w14:paraId="3FCF4F52">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支出决算表</w:t>
            </w:r>
          </w:p>
        </w:tc>
      </w:tr>
      <w:tr w14:paraId="4700BBD5">
        <w:tblPrEx>
          <w:tblCellMar>
            <w:top w:w="0" w:type="dxa"/>
            <w:left w:w="0" w:type="dxa"/>
            <w:bottom w:w="0" w:type="dxa"/>
            <w:right w:w="0" w:type="dxa"/>
          </w:tblCellMar>
        </w:tblPrEx>
        <w:trPr>
          <w:trHeight w:val="342" w:hRule="atLeast"/>
        </w:trPr>
        <w:tc>
          <w:tcPr>
            <w:tcW w:w="6345" w:type="dxa"/>
            <w:gridSpan w:val="3"/>
            <w:vMerge w:val="restart"/>
            <w:tcBorders>
              <w:top w:val="nil"/>
              <w:left w:val="nil"/>
              <w:right w:val="nil"/>
            </w:tcBorders>
            <w:shd w:val="clear" w:color="auto" w:fill="auto"/>
            <w:noWrap/>
            <w:tcMar>
              <w:top w:w="15" w:type="dxa"/>
              <w:left w:w="15" w:type="dxa"/>
              <w:right w:w="15" w:type="dxa"/>
            </w:tcMar>
            <w:vAlign w:val="bottom"/>
          </w:tcPr>
          <w:p w14:paraId="1C05E7B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color w:val="000000"/>
                <w:sz w:val="20"/>
                <w:szCs w:val="20"/>
              </w:rPr>
              <w:t xml:space="preserve">： </w:t>
            </w:r>
            <w:r>
              <w:rPr>
                <w:rFonts w:hint="eastAsia" w:ascii="Times New Roman" w:hAnsi="Times New Roman" w:eastAsia="方正仿宋_GBK" w:cs="方正仿宋_GBK"/>
                <w:color w:val="000000"/>
                <w:sz w:val="20"/>
                <w:u w:color="auto"/>
              </w:rPr>
              <w:t xml:space="preserve">中国共产党巫溪县委员会政法委员会 </w:t>
            </w:r>
          </w:p>
        </w:tc>
        <w:tc>
          <w:tcPr>
            <w:tcW w:w="1478" w:type="dxa"/>
            <w:tcBorders>
              <w:top w:val="nil"/>
              <w:left w:val="nil"/>
              <w:bottom w:val="nil"/>
              <w:right w:val="nil"/>
            </w:tcBorders>
            <w:shd w:val="clear" w:color="auto" w:fill="auto"/>
            <w:noWrap/>
            <w:tcMar>
              <w:top w:w="15" w:type="dxa"/>
              <w:left w:w="15" w:type="dxa"/>
              <w:right w:w="15" w:type="dxa"/>
            </w:tcMar>
            <w:vAlign w:val="bottom"/>
          </w:tcPr>
          <w:p w14:paraId="00F524E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79" w:type="dxa"/>
            <w:tcBorders>
              <w:top w:val="nil"/>
              <w:left w:val="nil"/>
              <w:bottom w:val="nil"/>
              <w:right w:val="nil"/>
            </w:tcBorders>
            <w:shd w:val="clear" w:color="auto" w:fill="auto"/>
            <w:noWrap/>
            <w:tcMar>
              <w:top w:w="15" w:type="dxa"/>
              <w:left w:w="15" w:type="dxa"/>
              <w:right w:w="15" w:type="dxa"/>
            </w:tcMar>
            <w:vAlign w:val="bottom"/>
          </w:tcPr>
          <w:p w14:paraId="2DB9BA1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65" w:type="dxa"/>
            <w:tcBorders>
              <w:top w:val="nil"/>
              <w:left w:val="nil"/>
              <w:bottom w:val="nil"/>
              <w:right w:val="nil"/>
            </w:tcBorders>
            <w:shd w:val="clear" w:color="auto" w:fill="auto"/>
            <w:noWrap/>
            <w:tcMar>
              <w:top w:w="15" w:type="dxa"/>
              <w:left w:w="15" w:type="dxa"/>
              <w:right w:w="15" w:type="dxa"/>
            </w:tcMar>
            <w:vAlign w:val="bottom"/>
          </w:tcPr>
          <w:p w14:paraId="6ACA92E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65" w:type="dxa"/>
            <w:tcBorders>
              <w:top w:val="nil"/>
              <w:left w:val="nil"/>
              <w:bottom w:val="nil"/>
              <w:right w:val="nil"/>
            </w:tcBorders>
            <w:shd w:val="clear" w:color="auto" w:fill="auto"/>
            <w:noWrap/>
            <w:tcMar>
              <w:top w:w="15" w:type="dxa"/>
              <w:left w:w="15" w:type="dxa"/>
              <w:right w:w="15" w:type="dxa"/>
            </w:tcMar>
            <w:vAlign w:val="bottom"/>
          </w:tcPr>
          <w:p w14:paraId="2A88862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0A686E42">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公开03表</w:t>
            </w:r>
          </w:p>
        </w:tc>
      </w:tr>
      <w:tr w14:paraId="538ADA79">
        <w:tblPrEx>
          <w:tblCellMar>
            <w:top w:w="0" w:type="dxa"/>
            <w:left w:w="0" w:type="dxa"/>
            <w:bottom w:w="0" w:type="dxa"/>
            <w:right w:w="0" w:type="dxa"/>
          </w:tblCellMar>
        </w:tblPrEx>
        <w:trPr>
          <w:trHeight w:val="342" w:hRule="atLeast"/>
        </w:trPr>
        <w:tc>
          <w:tcPr>
            <w:tcW w:w="6345" w:type="dxa"/>
            <w:gridSpan w:val="3"/>
            <w:vMerge w:val="continue"/>
            <w:tcBorders>
              <w:left w:val="nil"/>
              <w:bottom w:val="nil"/>
              <w:right w:val="nil"/>
            </w:tcBorders>
            <w:shd w:val="clear" w:color="auto" w:fill="auto"/>
            <w:noWrap/>
            <w:tcMar>
              <w:top w:w="15" w:type="dxa"/>
              <w:left w:w="15" w:type="dxa"/>
              <w:right w:w="15" w:type="dxa"/>
            </w:tcMar>
            <w:vAlign w:val="bottom"/>
          </w:tcPr>
          <w:p w14:paraId="541C535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78" w:type="dxa"/>
            <w:tcBorders>
              <w:top w:val="nil"/>
              <w:left w:val="nil"/>
              <w:bottom w:val="nil"/>
              <w:right w:val="nil"/>
            </w:tcBorders>
            <w:shd w:val="clear" w:color="auto" w:fill="auto"/>
            <w:noWrap/>
            <w:tcMar>
              <w:top w:w="15" w:type="dxa"/>
              <w:left w:w="15" w:type="dxa"/>
              <w:right w:w="15" w:type="dxa"/>
            </w:tcMar>
            <w:vAlign w:val="bottom"/>
          </w:tcPr>
          <w:p w14:paraId="22450A7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79" w:type="dxa"/>
            <w:tcBorders>
              <w:top w:val="nil"/>
              <w:left w:val="nil"/>
              <w:bottom w:val="nil"/>
              <w:right w:val="nil"/>
            </w:tcBorders>
            <w:shd w:val="clear" w:color="auto" w:fill="auto"/>
            <w:noWrap/>
            <w:tcMar>
              <w:top w:w="15" w:type="dxa"/>
              <w:left w:w="15" w:type="dxa"/>
              <w:right w:w="15" w:type="dxa"/>
            </w:tcMar>
            <w:vAlign w:val="bottom"/>
          </w:tcPr>
          <w:p w14:paraId="38A89FE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65" w:type="dxa"/>
            <w:tcBorders>
              <w:top w:val="nil"/>
              <w:left w:val="nil"/>
              <w:bottom w:val="nil"/>
              <w:right w:val="nil"/>
            </w:tcBorders>
            <w:shd w:val="clear" w:color="auto" w:fill="auto"/>
            <w:noWrap/>
            <w:tcMar>
              <w:top w:w="15" w:type="dxa"/>
              <w:left w:w="15" w:type="dxa"/>
              <w:right w:w="15" w:type="dxa"/>
            </w:tcMar>
            <w:vAlign w:val="bottom"/>
          </w:tcPr>
          <w:p w14:paraId="00874B7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465" w:type="dxa"/>
            <w:tcBorders>
              <w:top w:val="nil"/>
              <w:left w:val="nil"/>
              <w:bottom w:val="nil"/>
              <w:right w:val="nil"/>
            </w:tcBorders>
            <w:shd w:val="clear" w:color="auto" w:fill="auto"/>
            <w:noWrap/>
            <w:tcMar>
              <w:top w:w="15" w:type="dxa"/>
              <w:left w:w="15" w:type="dxa"/>
              <w:right w:w="15" w:type="dxa"/>
            </w:tcMar>
            <w:vAlign w:val="bottom"/>
          </w:tcPr>
          <w:p w14:paraId="762FD48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5B7C2D9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02C32A92">
        <w:tblPrEx>
          <w:tblCellMar>
            <w:top w:w="0" w:type="dxa"/>
            <w:left w:w="0" w:type="dxa"/>
            <w:bottom w:w="0" w:type="dxa"/>
            <w:right w:w="0" w:type="dxa"/>
          </w:tblCellMar>
        </w:tblPrEx>
        <w:trPr>
          <w:trHeight w:val="362"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AD5A131">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74BF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本年支出合计</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AAC40C">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基本支出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1093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项目支出</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89F3D7">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上缴上级支出</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EE5E9D">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经营支出</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87D8C">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对附属单位补助支出</w:t>
            </w:r>
          </w:p>
        </w:tc>
      </w:tr>
      <w:tr w14:paraId="26AE150C">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7AA8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功能分类科目编码</w:t>
            </w:r>
          </w:p>
        </w:tc>
        <w:tc>
          <w:tcPr>
            <w:tcW w:w="3230"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F8F94E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项目（按“项”级功能分类科目）</w:t>
            </w: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DE6F9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85AB1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2A982">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6CB5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2C71F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1403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30268B5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045E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23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01ABB21">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67A9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3294C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D26B8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16E81">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1D11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9798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1CDE32D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531F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23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CEFA14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1306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C2382">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A47E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1129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09CC2">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A7A8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7044463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133D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23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38F448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6FF16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BBE9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5763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9ADF7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28B1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F8241">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43B4E12A">
        <w:tblPrEx>
          <w:tblCellMar>
            <w:top w:w="0" w:type="dxa"/>
            <w:left w:w="0" w:type="dxa"/>
            <w:bottom w:w="0" w:type="dxa"/>
            <w:right w:w="0" w:type="dxa"/>
          </w:tblCellMar>
        </w:tblPrEx>
        <w:trPr>
          <w:trHeight w:val="51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F658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14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ACFC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690.63</w:t>
            </w:r>
            <w:r>
              <w:rPr>
                <w:rFonts w:hint="eastAsia" w:ascii="Times New Roman" w:hAnsi="Times New Roman" w:eastAsia="方正仿宋_GBK" w:cs="方正仿宋_GBK"/>
                <w:b/>
                <w:color w:val="000000"/>
                <w:sz w:val="20"/>
                <w:u w:color="auto"/>
              </w:rPr>
              <w:t xml:space="preserve"> </w:t>
            </w:r>
          </w:p>
        </w:tc>
        <w:tc>
          <w:tcPr>
            <w:tcW w:w="14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CD2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487.23</w:t>
            </w:r>
            <w:r>
              <w:rPr>
                <w:rFonts w:hint="eastAsia" w:ascii="Times New Roman" w:hAnsi="Times New Roman" w:eastAsia="方正仿宋_GBK" w:cs="方正仿宋_GBK"/>
                <w:b/>
                <w:color w:val="000000"/>
                <w:sz w:val="20"/>
                <w:u w:color="auto"/>
              </w:rPr>
              <w:t xml:space="preserve"> </w:t>
            </w:r>
          </w:p>
        </w:tc>
        <w:tc>
          <w:tcPr>
            <w:tcW w:w="14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8124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203.40</w:t>
            </w:r>
            <w:r>
              <w:rPr>
                <w:rFonts w:hint="eastAsia" w:ascii="Times New Roman" w:hAnsi="Times New Roman" w:eastAsia="方正仿宋_GBK" w:cs="方正仿宋_GBK"/>
                <w:b/>
                <w:color w:val="000000"/>
                <w:sz w:val="20"/>
                <w:u w:color="auto"/>
              </w:rPr>
              <w:t xml:space="preserve"> </w:t>
            </w:r>
          </w:p>
        </w:tc>
        <w:tc>
          <w:tcPr>
            <w:tcW w:w="1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870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CE67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E9F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r>
      <w:tr w14:paraId="06CBC00A">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219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B49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一般公共服务支出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542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6A7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333.76</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5E6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203.40</w:t>
            </w:r>
            <w:r>
              <w:rPr>
                <w:rFonts w:hint="eastAsia" w:ascii="Times New Roman" w:hAnsi="Times New Roman" w:eastAsia="方正仿宋_GBK" w:cs="方正仿宋_GBK"/>
                <w:b/>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C36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FCA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A97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2C9F309">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3AB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20136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81D4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其他共产党事务支出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33D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E13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333.76</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7AA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203.40</w:t>
            </w:r>
            <w:r>
              <w:rPr>
                <w:rFonts w:hint="eastAsia" w:ascii="Times New Roman" w:hAnsi="Times New Roman" w:eastAsia="方正仿宋_GBK" w:cs="方正仿宋_GBK"/>
                <w:b/>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818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FBC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ABC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276D5622">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92C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DFB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行政运行</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B59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292.54</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C19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292.54</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69D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011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EA9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FC3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251CABE">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E9D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285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事业运行</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5A9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41.22</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2B3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41.22</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F8E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537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A77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BCC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59DEAA7">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FBF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6E3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其他共产党事务支出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E44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203.40</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9BC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9CB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203.40</w:t>
            </w: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0D8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B82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0B1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3FBA1E2A">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A65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6FE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社会保障和就业支出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CC7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100.83</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01F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100.83</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E0F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817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462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669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956AF23">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364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BEF3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行政事业单位养老支出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E93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100.18</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6B7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100.18</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658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BEF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1CE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D6A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800AFB8">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F3C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9D2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行政单位离退休</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CB2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29.10</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5A0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29.10</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6F5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1EE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EB2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8CC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B486823">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49A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335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机关事业单位基本养老保险缴费支出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980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51.75</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8A2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51.75</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27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A52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5C7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AE8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5086C73">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B85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66D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机关事业单位职业年金缴费支出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CBB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19.32</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F21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19.32</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A57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1A0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DD5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D13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C2B0211">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602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6BE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抚恤</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2F9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0.66</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3C9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0.66</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222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EDB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986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C8A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337D732">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D7F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5531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死亡抚恤</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FFB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0.66</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20E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0.66</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383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74B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DB9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2A3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0047E7E7">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3BB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AF4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卫生健康支出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B8E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5CE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0B9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74F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0B9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C1A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33610CD">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281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63DD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行政事业单位医疗</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F18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8C6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096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7F7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CF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0B5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5DA3D009">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243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7C9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行政单位医疗</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EF6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15.21</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254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15.21</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E2B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1BF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111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2FB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4415BD38">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2CC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45D2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事业单位医疗</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CA2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2.19</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157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2.19</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9F3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F0E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49C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E30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776B488B">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2F6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8EA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住房保障支出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1D6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AEC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F55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9A8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268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34A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6F30AA09">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239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9A8B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住房改革支出</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F84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618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790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9AF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346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469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r w14:paraId="29625B2C">
        <w:tblPrEx>
          <w:tblCellMar>
            <w:top w:w="0" w:type="dxa"/>
            <w:left w:w="0" w:type="dxa"/>
            <w:bottom w:w="0" w:type="dxa"/>
            <w:right w:w="0" w:type="dxa"/>
          </w:tblCellMar>
        </w:tblPrEx>
        <w:trPr>
          <w:trHeight w:val="51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5DC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DD2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住房公积金</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1B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523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394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C38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151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3CD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u w:color="auto"/>
              </w:rPr>
              <w:t xml:space="preserve"> </w:t>
            </w:r>
          </w:p>
        </w:tc>
      </w:tr>
    </w:tbl>
    <w:p w14:paraId="67F485F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0"/>
          <w:szCs w:val="20"/>
        </w:rPr>
        <w:t>备注：1.本表反映部门本年度各项支出情况。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p>
    <w:tbl>
      <w:tblPr>
        <w:tblStyle w:val="7"/>
        <w:tblW w:w="13174" w:type="dxa"/>
        <w:tblInd w:w="0" w:type="dxa"/>
        <w:tblLayout w:type="fixed"/>
        <w:tblCellMar>
          <w:top w:w="0" w:type="dxa"/>
          <w:left w:w="0" w:type="dxa"/>
          <w:bottom w:w="0" w:type="dxa"/>
          <w:right w:w="0" w:type="dxa"/>
        </w:tblCellMar>
      </w:tblPr>
      <w:tblGrid>
        <w:gridCol w:w="2664"/>
        <w:gridCol w:w="1365"/>
        <w:gridCol w:w="2853"/>
        <w:gridCol w:w="1520"/>
        <w:gridCol w:w="1520"/>
        <w:gridCol w:w="1520"/>
        <w:gridCol w:w="1732"/>
      </w:tblGrid>
      <w:tr w14:paraId="16990E40">
        <w:tblPrEx>
          <w:tblCellMar>
            <w:top w:w="0" w:type="dxa"/>
            <w:left w:w="0" w:type="dxa"/>
            <w:bottom w:w="0" w:type="dxa"/>
            <w:right w:w="0" w:type="dxa"/>
          </w:tblCellMar>
        </w:tblPrEx>
        <w:trPr>
          <w:trHeight w:val="90" w:hRule="atLeast"/>
        </w:trPr>
        <w:tc>
          <w:tcPr>
            <w:tcW w:w="13174" w:type="dxa"/>
            <w:gridSpan w:val="7"/>
            <w:tcBorders>
              <w:top w:val="nil"/>
              <w:left w:val="nil"/>
              <w:bottom w:val="nil"/>
              <w:right w:val="nil"/>
            </w:tcBorders>
            <w:shd w:val="clear" w:color="auto" w:fill="auto"/>
            <w:noWrap/>
            <w:tcMar>
              <w:top w:w="15" w:type="dxa"/>
              <w:left w:w="15" w:type="dxa"/>
              <w:right w:w="15" w:type="dxa"/>
            </w:tcMar>
            <w:vAlign w:val="bottom"/>
          </w:tcPr>
          <w:p w14:paraId="0BA2D8FC">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财政拨款收入支出决算总表</w:t>
            </w:r>
          </w:p>
        </w:tc>
      </w:tr>
      <w:tr w14:paraId="597F1E7E">
        <w:tblPrEx>
          <w:tblCellMar>
            <w:top w:w="0" w:type="dxa"/>
            <w:left w:w="0" w:type="dxa"/>
            <w:bottom w:w="0" w:type="dxa"/>
            <w:right w:w="0" w:type="dxa"/>
          </w:tblCellMar>
        </w:tblPrEx>
        <w:trPr>
          <w:trHeight w:val="90" w:hRule="atLeast"/>
        </w:trPr>
        <w:tc>
          <w:tcPr>
            <w:tcW w:w="6882" w:type="dxa"/>
            <w:gridSpan w:val="3"/>
            <w:vMerge w:val="restart"/>
            <w:tcBorders>
              <w:top w:val="nil"/>
              <w:left w:val="nil"/>
              <w:right w:val="nil"/>
            </w:tcBorders>
            <w:shd w:val="clear" w:color="auto" w:fill="auto"/>
            <w:noWrap/>
            <w:tcMar>
              <w:top w:w="15" w:type="dxa"/>
              <w:left w:w="15" w:type="dxa"/>
              <w:right w:w="15" w:type="dxa"/>
            </w:tcMar>
            <w:vAlign w:val="bottom"/>
          </w:tcPr>
          <w:p w14:paraId="58DE841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color w:val="000000"/>
                <w:sz w:val="20"/>
                <w:szCs w:val="20"/>
              </w:rPr>
              <w:t xml:space="preserve">： </w:t>
            </w:r>
            <w:r>
              <w:rPr>
                <w:rFonts w:hint="eastAsia" w:ascii="Times New Roman" w:hAnsi="Times New Roman" w:eastAsia="方正仿宋_GBK" w:cs="方正仿宋_GBK"/>
                <w:color w:val="000000"/>
                <w:sz w:val="20"/>
                <w:u w:color="auto"/>
              </w:rPr>
              <w:t>中国共产党巫溪县委员会政法委员会</w:t>
            </w:r>
          </w:p>
        </w:tc>
        <w:tc>
          <w:tcPr>
            <w:tcW w:w="1520" w:type="dxa"/>
            <w:tcBorders>
              <w:top w:val="nil"/>
              <w:left w:val="nil"/>
              <w:bottom w:val="nil"/>
              <w:right w:val="nil"/>
            </w:tcBorders>
            <w:shd w:val="clear" w:color="auto" w:fill="auto"/>
            <w:noWrap/>
            <w:tcMar>
              <w:top w:w="15" w:type="dxa"/>
              <w:left w:w="15" w:type="dxa"/>
              <w:right w:w="15" w:type="dxa"/>
            </w:tcMar>
            <w:vAlign w:val="bottom"/>
          </w:tcPr>
          <w:p w14:paraId="370B9E5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2C917F9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1CCBF81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732" w:type="dxa"/>
            <w:tcBorders>
              <w:top w:val="nil"/>
              <w:left w:val="nil"/>
              <w:bottom w:val="nil"/>
              <w:right w:val="nil"/>
            </w:tcBorders>
            <w:shd w:val="clear" w:color="auto" w:fill="auto"/>
            <w:noWrap/>
            <w:tcMar>
              <w:top w:w="15" w:type="dxa"/>
              <w:left w:w="15" w:type="dxa"/>
              <w:right w:w="15" w:type="dxa"/>
            </w:tcMar>
            <w:vAlign w:val="bottom"/>
          </w:tcPr>
          <w:p w14:paraId="4524F5F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公开04表</w:t>
            </w:r>
          </w:p>
        </w:tc>
      </w:tr>
      <w:tr w14:paraId="4E5FBA98">
        <w:tblPrEx>
          <w:tblCellMar>
            <w:top w:w="0" w:type="dxa"/>
            <w:left w:w="0" w:type="dxa"/>
            <w:bottom w:w="0" w:type="dxa"/>
            <w:right w:w="0" w:type="dxa"/>
          </w:tblCellMar>
        </w:tblPrEx>
        <w:trPr>
          <w:trHeight w:val="90" w:hRule="atLeast"/>
        </w:trPr>
        <w:tc>
          <w:tcPr>
            <w:tcW w:w="6882" w:type="dxa"/>
            <w:gridSpan w:val="3"/>
            <w:vMerge w:val="continue"/>
            <w:tcBorders>
              <w:left w:val="nil"/>
              <w:bottom w:val="nil"/>
              <w:right w:val="nil"/>
            </w:tcBorders>
            <w:shd w:val="clear" w:color="auto" w:fill="auto"/>
            <w:noWrap/>
            <w:tcMar>
              <w:top w:w="15" w:type="dxa"/>
              <w:left w:w="15" w:type="dxa"/>
              <w:right w:w="15" w:type="dxa"/>
            </w:tcMar>
            <w:vAlign w:val="bottom"/>
          </w:tcPr>
          <w:p w14:paraId="7C13173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3199A29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7D6E25D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7BC90A3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732" w:type="dxa"/>
            <w:tcBorders>
              <w:top w:val="nil"/>
              <w:left w:val="nil"/>
              <w:bottom w:val="nil"/>
              <w:right w:val="nil"/>
            </w:tcBorders>
            <w:shd w:val="clear" w:color="auto" w:fill="auto"/>
            <w:noWrap/>
            <w:tcMar>
              <w:top w:w="15" w:type="dxa"/>
              <w:left w:w="15" w:type="dxa"/>
              <w:right w:w="15" w:type="dxa"/>
            </w:tcMar>
            <w:vAlign w:val="bottom"/>
          </w:tcPr>
          <w:p w14:paraId="41C669F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11DCA2E5">
        <w:tblPrEx>
          <w:tblCellMar>
            <w:top w:w="0" w:type="dxa"/>
            <w:left w:w="0" w:type="dxa"/>
            <w:bottom w:w="0" w:type="dxa"/>
            <w:right w:w="0" w:type="dxa"/>
          </w:tblCellMar>
        </w:tblPrEx>
        <w:trPr>
          <w:trHeight w:val="90" w:hRule="atLeast"/>
        </w:trPr>
        <w:tc>
          <w:tcPr>
            <w:tcW w:w="402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D0383">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收     入</w:t>
            </w:r>
          </w:p>
        </w:tc>
        <w:tc>
          <w:tcPr>
            <w:tcW w:w="9145"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D169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支     出</w:t>
            </w:r>
          </w:p>
        </w:tc>
      </w:tr>
      <w:tr w14:paraId="46EAE12E">
        <w:tblPrEx>
          <w:tblCellMar>
            <w:top w:w="0" w:type="dxa"/>
            <w:left w:w="0" w:type="dxa"/>
            <w:bottom w:w="0" w:type="dxa"/>
            <w:right w:w="0" w:type="dxa"/>
          </w:tblCellMar>
        </w:tblPrEx>
        <w:trPr>
          <w:trHeight w:val="90" w:hRule="atLeast"/>
        </w:trPr>
        <w:tc>
          <w:tcPr>
            <w:tcW w:w="266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A5156">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项目</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DD995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决算数</w:t>
            </w:r>
          </w:p>
        </w:tc>
        <w:tc>
          <w:tcPr>
            <w:tcW w:w="285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3B4EE8">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功能分类科目</w:t>
            </w:r>
          </w:p>
        </w:tc>
        <w:tc>
          <w:tcPr>
            <w:tcW w:w="6292"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7EF1A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决算数</w:t>
            </w:r>
          </w:p>
        </w:tc>
      </w:tr>
      <w:tr w14:paraId="1B8A1C9F">
        <w:tblPrEx>
          <w:tblCellMar>
            <w:top w:w="0" w:type="dxa"/>
            <w:left w:w="0" w:type="dxa"/>
            <w:bottom w:w="0" w:type="dxa"/>
            <w:right w:w="0" w:type="dxa"/>
          </w:tblCellMar>
        </w:tblPrEx>
        <w:trPr>
          <w:trHeight w:val="90" w:hRule="atLeast"/>
        </w:trPr>
        <w:tc>
          <w:tcPr>
            <w:tcW w:w="266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D23C2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9C82E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285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C72AE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E5D7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小计</w:t>
            </w:r>
          </w:p>
        </w:tc>
        <w:tc>
          <w:tcPr>
            <w:tcW w:w="152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CBF03A">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一般公共预算财政拨款</w:t>
            </w:r>
          </w:p>
        </w:tc>
        <w:tc>
          <w:tcPr>
            <w:tcW w:w="152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84C9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政府性基金预算财政拨款</w:t>
            </w:r>
          </w:p>
        </w:tc>
        <w:tc>
          <w:tcPr>
            <w:tcW w:w="173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51B235">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国有资本经营预算财政拨款</w:t>
            </w:r>
          </w:p>
        </w:tc>
      </w:tr>
      <w:tr w14:paraId="18E88C73">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E043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一、一般公共预算财政拨款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E3E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8D7F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一、一般公共服务支出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2C1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537.16</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5C1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537.16</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F6E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6D2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EA270D9">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6D7B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二、政府性基金预算财政拨款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EE8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3877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二、外交支出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F64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7F3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16D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625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04654F3">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F06E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三、国有资本经营预算财政拨款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ACA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CAF6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三、国防支出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04E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3E1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2F2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3B5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E428F27">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8FE4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599B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555E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四、公共安全支出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BFA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560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6C1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9FB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C340B55">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F88B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EFFD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9386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五、教育支出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EE0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AB6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25D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70E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0614FF08">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6158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DAED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B018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六、科学技术支出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D20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9C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3DC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DD3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1BDF33CD">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33EB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EF2D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4E91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七、文化旅游体育与传媒支出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BDE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AC1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D5C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7C3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8419561">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E5A7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F61E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2EAA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八、社会保障和就业支出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DB3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100.83</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64C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100.83</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B51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B7C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20C7D5C">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8628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A40A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8260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九、卫生健康支出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611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17.39</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636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17.39</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AB7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CE3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89F4721">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450A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24FE">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EDD9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十、节能环保支出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12C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B6A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279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681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28C5599">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0AC5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4561">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729E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十一、城乡社区支出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DA0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56E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08E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5AB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0CCA56CA">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6B98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B052">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6FAE9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十二、农林水支出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D3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E60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89F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2CB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D7A71DB">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9692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B592">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69D5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十三、交通运输支出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B97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D08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FC7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ECF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95656D9">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76E6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3603">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633A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十四、资源勘探工业信息等支出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CFD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56F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1A1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909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97F2E0D">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AED2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0716">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2805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十五、商业服务业等支出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7E8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114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B9A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1C0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36B49FF8">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5349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72FE">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75A4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十六、金融支出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3AD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42F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432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4D0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EC233AE">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C9E8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B616">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0A96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十七、援助其他地区支出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FEC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C7A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0D1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C1B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1B28A27A">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1552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2508">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90C2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十八、自然资源海洋气象等支出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6BE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787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78E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135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8FCB015">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312D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D66B">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B3A9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十九、住房保障支出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B39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35.25</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678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35.25</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8CD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AF3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BA8D244">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BFCA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C44F">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6939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二十、粮油物资储备支出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6FB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E89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178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87E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773FE12">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3613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D7FF">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4800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二十一、国有资本经营预算支出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EE8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F6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2B1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3EF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2AA9C22">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7FE6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47DD">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3D9A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二十二、灾害防治及应急管理支出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EB2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86E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36E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D3A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F3E2370">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626B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6ED0">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4DD1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二十三、其他支出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782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3F3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8F0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9E0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2BB3356">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4049CF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770C">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D4A7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二十四、债务还本支出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AEC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C4D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A55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B2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D23E7EF">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0C4E4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177B">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E913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二十五、债务付息支出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638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1B2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07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E89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37A33D9">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3433CC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B634">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9EF6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二十六、抗疫特别国债安排的支出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263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80C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38D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E11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6FDD731">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339C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本年收入合计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76B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29EF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本年支出合计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D00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86E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A1E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791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3305D66E">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AE07B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年初财政拨款结转和结余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7F3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9860E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年末财政拨款结转和结余</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D5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12F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2BD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655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062AD34D">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2B54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一般公共预算财政拨款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CC9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89F134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9F06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099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9ABB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1950A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r>
      <w:tr w14:paraId="0B542F18">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62B0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政府性基金预算财政拨款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BAC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76F2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86D7">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F829">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01A6">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4AE5">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r>
      <w:tr w14:paraId="70DE20F0">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5229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国有资本经营预算财政拨款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949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F9AE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8DD9">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45B5">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C1D1">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DCEF">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r>
      <w:tr w14:paraId="03056C2C">
        <w:tblPrEx>
          <w:tblCellMar>
            <w:top w:w="0" w:type="dxa"/>
            <w:left w:w="0" w:type="dxa"/>
            <w:bottom w:w="0" w:type="dxa"/>
            <w:right w:w="0" w:type="dxa"/>
          </w:tblCellMar>
        </w:tblPrEx>
        <w:trPr>
          <w:trHeight w:val="510" w:hRule="exact"/>
        </w:trPr>
        <w:tc>
          <w:tcPr>
            <w:tcW w:w="266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67B8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总计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445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5D51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总计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7D7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55B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690.63</w:t>
            </w:r>
            <w:r>
              <w:rPr>
                <w:rFonts w:hint="eastAsia" w:ascii="Times New Roman" w:hAnsi="Times New Roman" w:eastAsia="方正仿宋_GBK" w:cs="方正仿宋_GBK"/>
                <w:color w:val="000000"/>
                <w:sz w:val="18"/>
                <w:u w:color="auto"/>
              </w:rPr>
              <w:t xml:space="preserve"> </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CF1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708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bl>
    <w:p w14:paraId="6111ABDD">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备注：1.本表反映部门本年度一般公共预算财政拨款、政府性基金预算财政拨款及国有资本经营预算财政拨款的总收支和年末结转结余情况。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1"/>
          <w:szCs w:val="21"/>
        </w:rPr>
        <w:br w:type="page"/>
      </w:r>
    </w:p>
    <w:tbl>
      <w:tblPr>
        <w:tblStyle w:val="7"/>
        <w:tblW w:w="13752" w:type="dxa"/>
        <w:tblInd w:w="0" w:type="dxa"/>
        <w:tblLayout w:type="fixed"/>
        <w:tblCellMar>
          <w:top w:w="0" w:type="dxa"/>
          <w:left w:w="0" w:type="dxa"/>
          <w:bottom w:w="0" w:type="dxa"/>
          <w:right w:w="0" w:type="dxa"/>
        </w:tblCellMar>
      </w:tblPr>
      <w:tblGrid>
        <w:gridCol w:w="1644"/>
        <w:gridCol w:w="3232"/>
        <w:gridCol w:w="2954"/>
        <w:gridCol w:w="2954"/>
        <w:gridCol w:w="2968"/>
      </w:tblGrid>
      <w:tr w14:paraId="70C9A787">
        <w:tblPrEx>
          <w:tblCellMar>
            <w:top w:w="0" w:type="dxa"/>
            <w:left w:w="0" w:type="dxa"/>
            <w:bottom w:w="0" w:type="dxa"/>
            <w:right w:w="0" w:type="dxa"/>
          </w:tblCellMar>
        </w:tblPrEx>
        <w:trPr>
          <w:trHeight w:val="510" w:hRule="atLeast"/>
        </w:trPr>
        <w:tc>
          <w:tcPr>
            <w:tcW w:w="13752" w:type="dxa"/>
            <w:gridSpan w:val="5"/>
            <w:tcBorders>
              <w:top w:val="nil"/>
              <w:left w:val="nil"/>
              <w:bottom w:val="nil"/>
              <w:right w:val="nil"/>
            </w:tcBorders>
            <w:shd w:val="clear" w:color="auto" w:fill="auto"/>
            <w:noWrap/>
            <w:tcMar>
              <w:top w:w="15" w:type="dxa"/>
              <w:left w:w="15" w:type="dxa"/>
              <w:right w:w="15" w:type="dxa"/>
            </w:tcMar>
            <w:vAlign w:val="bottom"/>
          </w:tcPr>
          <w:p w14:paraId="527A5856">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一般公共预算财政拨款支出决算表</w:t>
            </w:r>
          </w:p>
        </w:tc>
      </w:tr>
      <w:tr w14:paraId="79883712">
        <w:tblPrEx>
          <w:tblCellMar>
            <w:top w:w="0" w:type="dxa"/>
            <w:left w:w="0" w:type="dxa"/>
            <w:bottom w:w="0" w:type="dxa"/>
            <w:right w:w="0" w:type="dxa"/>
          </w:tblCellMar>
        </w:tblPrEx>
        <w:trPr>
          <w:trHeight w:val="255" w:hRule="atLeast"/>
        </w:trPr>
        <w:tc>
          <w:tcPr>
            <w:tcW w:w="7830" w:type="dxa"/>
            <w:gridSpan w:val="3"/>
            <w:vMerge w:val="restart"/>
            <w:tcBorders>
              <w:top w:val="nil"/>
              <w:left w:val="nil"/>
              <w:right w:val="nil"/>
            </w:tcBorders>
            <w:shd w:val="clear" w:color="auto" w:fill="auto"/>
            <w:noWrap/>
            <w:tcMar>
              <w:top w:w="15" w:type="dxa"/>
              <w:left w:w="15" w:type="dxa"/>
              <w:right w:w="15" w:type="dxa"/>
            </w:tcMar>
            <w:vAlign w:val="bottom"/>
          </w:tcPr>
          <w:p w14:paraId="33213C2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color w:val="000000"/>
                <w:sz w:val="20"/>
                <w:szCs w:val="20"/>
              </w:rPr>
              <w:t xml:space="preserve">： </w:t>
            </w:r>
            <w:r>
              <w:rPr>
                <w:rFonts w:hint="eastAsia" w:ascii="Times New Roman" w:hAnsi="Times New Roman" w:eastAsia="方正仿宋_GBK" w:cs="方正仿宋_GBK"/>
                <w:color w:val="000000"/>
                <w:sz w:val="20"/>
                <w:u w:color="auto"/>
              </w:rPr>
              <w:t>中国共产党巫溪县委员会政法委员会</w:t>
            </w:r>
          </w:p>
        </w:tc>
        <w:tc>
          <w:tcPr>
            <w:tcW w:w="2954" w:type="dxa"/>
            <w:tcBorders>
              <w:top w:val="nil"/>
              <w:left w:val="nil"/>
              <w:bottom w:val="nil"/>
              <w:right w:val="nil"/>
            </w:tcBorders>
            <w:shd w:val="clear" w:color="auto" w:fill="auto"/>
            <w:noWrap/>
            <w:tcMar>
              <w:top w:w="15" w:type="dxa"/>
              <w:left w:w="15" w:type="dxa"/>
              <w:right w:w="15" w:type="dxa"/>
            </w:tcMar>
            <w:vAlign w:val="bottom"/>
          </w:tcPr>
          <w:p w14:paraId="6EE18F4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2968" w:type="dxa"/>
            <w:tcBorders>
              <w:top w:val="nil"/>
              <w:left w:val="nil"/>
              <w:bottom w:val="nil"/>
              <w:right w:val="nil"/>
            </w:tcBorders>
            <w:shd w:val="clear" w:color="auto" w:fill="auto"/>
            <w:noWrap/>
            <w:tcMar>
              <w:top w:w="15" w:type="dxa"/>
              <w:left w:w="15" w:type="dxa"/>
              <w:right w:w="15" w:type="dxa"/>
            </w:tcMar>
            <w:vAlign w:val="bottom"/>
          </w:tcPr>
          <w:p w14:paraId="1A996D04">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公开05表</w:t>
            </w:r>
          </w:p>
        </w:tc>
      </w:tr>
      <w:tr w14:paraId="198E74B5">
        <w:tblPrEx>
          <w:tblCellMar>
            <w:top w:w="0" w:type="dxa"/>
            <w:left w:w="0" w:type="dxa"/>
            <w:bottom w:w="0" w:type="dxa"/>
            <w:right w:w="0" w:type="dxa"/>
          </w:tblCellMar>
        </w:tblPrEx>
        <w:trPr>
          <w:trHeight w:val="285" w:hRule="atLeast"/>
        </w:trPr>
        <w:tc>
          <w:tcPr>
            <w:tcW w:w="7830" w:type="dxa"/>
            <w:gridSpan w:val="3"/>
            <w:vMerge w:val="continue"/>
            <w:tcBorders>
              <w:left w:val="nil"/>
              <w:bottom w:val="nil"/>
              <w:right w:val="nil"/>
            </w:tcBorders>
            <w:shd w:val="clear" w:color="auto" w:fill="auto"/>
            <w:noWrap/>
            <w:tcMar>
              <w:top w:w="15" w:type="dxa"/>
              <w:left w:w="15" w:type="dxa"/>
              <w:right w:w="15" w:type="dxa"/>
            </w:tcMar>
            <w:vAlign w:val="bottom"/>
          </w:tcPr>
          <w:p w14:paraId="7F80F9E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2954" w:type="dxa"/>
            <w:tcBorders>
              <w:top w:val="nil"/>
              <w:left w:val="nil"/>
              <w:bottom w:val="nil"/>
              <w:right w:val="nil"/>
            </w:tcBorders>
            <w:shd w:val="clear" w:color="auto" w:fill="auto"/>
            <w:noWrap/>
            <w:tcMar>
              <w:top w:w="15" w:type="dxa"/>
              <w:left w:w="15" w:type="dxa"/>
              <w:right w:w="15" w:type="dxa"/>
            </w:tcMar>
            <w:vAlign w:val="bottom"/>
          </w:tcPr>
          <w:p w14:paraId="7D96978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2968" w:type="dxa"/>
            <w:tcBorders>
              <w:top w:val="nil"/>
              <w:left w:val="nil"/>
              <w:bottom w:val="nil"/>
              <w:right w:val="nil"/>
            </w:tcBorders>
            <w:shd w:val="clear" w:color="auto" w:fill="auto"/>
            <w:noWrap/>
            <w:tcMar>
              <w:top w:w="15" w:type="dxa"/>
              <w:left w:w="15" w:type="dxa"/>
              <w:right w:w="15" w:type="dxa"/>
            </w:tcMar>
            <w:vAlign w:val="bottom"/>
          </w:tcPr>
          <w:p w14:paraId="55AB8032">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72A8D84D">
        <w:tblPrEx>
          <w:tblCellMar>
            <w:top w:w="0" w:type="dxa"/>
            <w:left w:w="0" w:type="dxa"/>
            <w:bottom w:w="0" w:type="dxa"/>
            <w:right w:w="0" w:type="dxa"/>
          </w:tblCellMar>
        </w:tblPrEx>
        <w:trPr>
          <w:trHeight w:val="308" w:hRule="atLeast"/>
        </w:trPr>
        <w:tc>
          <w:tcPr>
            <w:tcW w:w="487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AB21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w:t>
            </w:r>
          </w:p>
        </w:tc>
        <w:tc>
          <w:tcPr>
            <w:tcW w:w="887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D86F1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本年支出</w:t>
            </w:r>
          </w:p>
        </w:tc>
      </w:tr>
      <w:tr w14:paraId="5384C13D">
        <w:tblPrEx>
          <w:tblCellMar>
            <w:top w:w="0" w:type="dxa"/>
            <w:left w:w="0" w:type="dxa"/>
            <w:bottom w:w="0" w:type="dxa"/>
            <w:right w:w="0" w:type="dxa"/>
          </w:tblCellMar>
        </w:tblPrEx>
        <w:trPr>
          <w:trHeight w:val="326" w:hRule="atLeast"/>
        </w:trPr>
        <w:tc>
          <w:tcPr>
            <w:tcW w:w="164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D069E">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功能分类科目编码</w:t>
            </w:r>
          </w:p>
        </w:tc>
        <w:tc>
          <w:tcPr>
            <w:tcW w:w="323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95449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项目（按“项”级功能分类科目）</w:t>
            </w:r>
          </w:p>
        </w:tc>
        <w:tc>
          <w:tcPr>
            <w:tcW w:w="295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DB0180">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295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DEB41C">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基本支出</w:t>
            </w:r>
          </w:p>
        </w:tc>
        <w:tc>
          <w:tcPr>
            <w:tcW w:w="296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5FECB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项目支出</w:t>
            </w:r>
          </w:p>
        </w:tc>
      </w:tr>
      <w:tr w14:paraId="0BD53B3D">
        <w:tblPrEx>
          <w:tblCellMar>
            <w:top w:w="0" w:type="dxa"/>
            <w:left w:w="0" w:type="dxa"/>
            <w:bottom w:w="0" w:type="dxa"/>
            <w:right w:w="0" w:type="dxa"/>
          </w:tblCellMar>
        </w:tblPrEx>
        <w:trPr>
          <w:trHeight w:val="326" w:hRule="atLeast"/>
        </w:trPr>
        <w:tc>
          <w:tcPr>
            <w:tcW w:w="164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21E4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23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66A57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9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EF3902">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9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25311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9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9F1FB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6CD3E772">
        <w:tblPrEx>
          <w:tblCellMar>
            <w:top w:w="0" w:type="dxa"/>
            <w:left w:w="0" w:type="dxa"/>
            <w:bottom w:w="0" w:type="dxa"/>
            <w:right w:w="0" w:type="dxa"/>
          </w:tblCellMar>
        </w:tblPrEx>
        <w:trPr>
          <w:trHeight w:val="312" w:hRule="atLeast"/>
        </w:trPr>
        <w:tc>
          <w:tcPr>
            <w:tcW w:w="164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9B39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23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156B72">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9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00554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9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E863E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9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F5B1C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1E7FAE93">
        <w:tblPrEx>
          <w:tblCellMar>
            <w:top w:w="0" w:type="dxa"/>
            <w:left w:w="0" w:type="dxa"/>
            <w:bottom w:w="0" w:type="dxa"/>
            <w:right w:w="0" w:type="dxa"/>
          </w:tblCellMar>
        </w:tblPrEx>
        <w:trPr>
          <w:trHeight w:val="510" w:hRule="exact"/>
        </w:trPr>
        <w:tc>
          <w:tcPr>
            <w:tcW w:w="487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D2DB95">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AA5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690.63</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B0F2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487.23</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E88F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bCs/>
                <w:color w:val="000000"/>
                <w:sz w:val="20"/>
                <w:szCs w:val="20"/>
              </w:rPr>
              <w:t>203.40</w:t>
            </w:r>
            <w:r>
              <w:rPr>
                <w:rFonts w:hint="eastAsia" w:ascii="Times New Roman" w:hAnsi="Times New Roman" w:eastAsia="方正仿宋_GBK" w:cs="方正仿宋_GBK"/>
                <w:b/>
                <w:color w:val="000000"/>
                <w:sz w:val="20"/>
                <w:u w:color="auto"/>
              </w:rPr>
              <w:t xml:space="preserve"> </w:t>
            </w:r>
          </w:p>
        </w:tc>
      </w:tr>
      <w:tr w14:paraId="48414005">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E20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479A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一般公共服务支出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7DF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33A0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333.76</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7786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203.40</w:t>
            </w:r>
            <w:r>
              <w:rPr>
                <w:rFonts w:hint="eastAsia" w:ascii="Times New Roman" w:hAnsi="Times New Roman" w:eastAsia="方正仿宋_GBK" w:cs="方正仿宋_GBK"/>
                <w:b/>
                <w:color w:val="000000"/>
                <w:sz w:val="20"/>
                <w:u w:color="auto"/>
              </w:rPr>
              <w:t xml:space="preserve"> </w:t>
            </w:r>
          </w:p>
        </w:tc>
      </w:tr>
      <w:tr w14:paraId="2C887F01">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625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20136</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E779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其他共产党事务支出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58D8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537.16</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0F5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333.76</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FB45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203.40</w:t>
            </w:r>
            <w:r>
              <w:rPr>
                <w:rFonts w:hint="eastAsia" w:ascii="Times New Roman" w:hAnsi="Times New Roman" w:eastAsia="方正仿宋_GBK" w:cs="方正仿宋_GBK"/>
                <w:b/>
                <w:color w:val="000000"/>
                <w:sz w:val="20"/>
                <w:u w:color="auto"/>
              </w:rPr>
              <w:t xml:space="preserve"> </w:t>
            </w:r>
          </w:p>
        </w:tc>
      </w:tr>
      <w:tr w14:paraId="24FBF60F">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E88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2013601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1F0E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行政运行</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253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292.54</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663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292.54</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52C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091B7E35">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2B9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2013650</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596D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事业运行</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446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41.22</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965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41.22</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D505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3A359B65">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C01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2013699</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B068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其他共产党事务支出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07D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203.40</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FBA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230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203.40</w:t>
            </w:r>
            <w:r>
              <w:rPr>
                <w:rFonts w:hint="eastAsia" w:ascii="Times New Roman" w:hAnsi="Times New Roman" w:eastAsia="方正仿宋_GBK" w:cs="方正仿宋_GBK"/>
                <w:color w:val="000000"/>
                <w:sz w:val="20"/>
                <w:u w:color="auto"/>
              </w:rPr>
              <w:t xml:space="preserve"> </w:t>
            </w:r>
          </w:p>
        </w:tc>
      </w:tr>
      <w:tr w14:paraId="3A90D7F9">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BA8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4E9A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社会保障和就业支出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013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100.83</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0365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100.83</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9A5D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1DD3F505">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31B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20805</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E41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行政事业单位养老支出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2FCE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100.18</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31A4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100.18</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7566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0342AF29">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7DE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E87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行政单位离退休</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BD7E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29.10</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C40C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29.10</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33B9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61C92159">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0D9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2080505</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7AB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机关事业单位基本养老保险缴费支出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620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51.75</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569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51.75</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E55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00EC35A9">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1AF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2080506</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F4CE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机关事业单位职业年金缴费支出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3A3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19.32</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E37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19.32</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8B41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42393EAC">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2AD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20808</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65A6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抚恤</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72A9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0.66</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BC0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0.66</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04C4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08A2A692">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8CE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2080801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097F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死亡抚恤</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557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0.66</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073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0.66</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57B4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26837B80">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6D4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210</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176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卫生健康支出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1F1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E1F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1FBD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0B273F98">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A0B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21011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18AC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行政事业单位医疗</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A62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C5A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17.39</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001D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177D38D8">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994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2101101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CB0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行政单位医疗</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DFE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15.21</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0365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15.21</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135C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730D6245">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431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2101102</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0D51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事业单位医疗</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9A87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2.19</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9B4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2.19</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3AD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2CFAC0FF">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A31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221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4DC0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住房保障支出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8A68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4E8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55EE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692CD6AF">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DD0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22102</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E941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b/>
                <w:color w:val="000000"/>
                <w:sz w:val="20"/>
                <w:szCs w:val="20"/>
              </w:rPr>
              <w:t>住房改革支出</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D6DE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B6FE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35.25</w:t>
            </w:r>
            <w:r>
              <w:rPr>
                <w:rFonts w:hint="eastAsia" w:ascii="Times New Roman" w:hAnsi="Times New Roman" w:eastAsia="方正仿宋_GBK" w:cs="方正仿宋_GBK"/>
                <w:b/>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18B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r w14:paraId="3D8BC5F4">
        <w:tblPrEx>
          <w:tblCellMar>
            <w:top w:w="0" w:type="dxa"/>
            <w:left w:w="0" w:type="dxa"/>
            <w:bottom w:w="0" w:type="dxa"/>
            <w:right w:w="0" w:type="dxa"/>
          </w:tblCellMar>
        </w:tblPrEx>
        <w:trPr>
          <w:trHeight w:val="510" w:hRule="exact"/>
        </w:trPr>
        <w:tc>
          <w:tcPr>
            <w:tcW w:w="164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CAF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2210201</w:t>
            </w: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4B88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住房公积金</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6F0C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c>
          <w:tcPr>
            <w:tcW w:w="2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FED5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szCs w:val="20"/>
              </w:rPr>
              <w:t>35.25</w:t>
            </w:r>
            <w:r>
              <w:rPr>
                <w:rFonts w:hint="eastAsia" w:ascii="Times New Roman" w:hAnsi="Times New Roman" w:eastAsia="方正仿宋_GBK" w:cs="方正仿宋_GBK"/>
                <w:color w:val="000000"/>
                <w:sz w:val="20"/>
                <w:u w:color="auto"/>
              </w:rPr>
              <w:t xml:space="preserve"> </w:t>
            </w:r>
          </w:p>
        </w:tc>
        <w:tc>
          <w:tcPr>
            <w:tcW w:w="29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FED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color w:val="000000"/>
                <w:sz w:val="20"/>
                <w:u w:color="auto"/>
              </w:rPr>
              <w:t xml:space="preserve"> </w:t>
            </w:r>
          </w:p>
        </w:tc>
      </w:tr>
    </w:tbl>
    <w:p w14:paraId="0BC6C1D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0"/>
          <w:szCs w:val="20"/>
        </w:rPr>
        <w:t>备注：1.本表反映部门本年度一般公共预算财政拨款支出情况。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14:paraId="38F7E974">
      <w:pPr>
        <w:keepNext w:val="0"/>
        <w:keepLines w:val="0"/>
        <w:pageBreakBefore w:val="0"/>
        <w:kinsoku/>
        <w:overflowPunct/>
        <w:topLinePunct w:val="0"/>
        <w:autoSpaceDN/>
        <w:bidi w:val="0"/>
        <w:spacing w:beforeAutospacing="0" w:line="600" w:lineRule="exact"/>
        <w:ind w:firstLine="630" w:firstLineChars="300"/>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br w:type="page"/>
      </w:r>
    </w:p>
    <w:tbl>
      <w:tblPr>
        <w:tblStyle w:val="7"/>
        <w:tblW w:w="13736" w:type="dxa"/>
        <w:tblInd w:w="0" w:type="dxa"/>
        <w:tblLayout w:type="fixed"/>
        <w:tblCellMar>
          <w:top w:w="0" w:type="dxa"/>
          <w:left w:w="0" w:type="dxa"/>
          <w:bottom w:w="0" w:type="dxa"/>
          <w:right w:w="0" w:type="dxa"/>
        </w:tblCellMar>
      </w:tblPr>
      <w:tblGrid>
        <w:gridCol w:w="792"/>
        <w:gridCol w:w="2199"/>
        <w:gridCol w:w="1230"/>
        <w:gridCol w:w="1018"/>
        <w:gridCol w:w="1832"/>
        <w:gridCol w:w="1100"/>
        <w:gridCol w:w="850"/>
        <w:gridCol w:w="2046"/>
        <w:gridCol w:w="2669"/>
      </w:tblGrid>
      <w:tr w14:paraId="3E195C46">
        <w:tblPrEx>
          <w:tblCellMar>
            <w:top w:w="0" w:type="dxa"/>
            <w:left w:w="0" w:type="dxa"/>
            <w:bottom w:w="0" w:type="dxa"/>
            <w:right w:w="0" w:type="dxa"/>
          </w:tblCellMar>
        </w:tblPrEx>
        <w:trPr>
          <w:trHeight w:val="90" w:hRule="atLeast"/>
        </w:trPr>
        <w:tc>
          <w:tcPr>
            <w:tcW w:w="13736" w:type="dxa"/>
            <w:gridSpan w:val="9"/>
            <w:tcBorders>
              <w:top w:val="nil"/>
              <w:left w:val="nil"/>
              <w:bottom w:val="nil"/>
              <w:right w:val="nil"/>
            </w:tcBorders>
            <w:shd w:val="clear" w:color="auto" w:fill="auto"/>
            <w:noWrap/>
            <w:tcMar>
              <w:top w:w="15" w:type="dxa"/>
              <w:left w:w="15" w:type="dxa"/>
              <w:right w:w="15" w:type="dxa"/>
            </w:tcMar>
            <w:vAlign w:val="bottom"/>
          </w:tcPr>
          <w:p w14:paraId="53AF9F94">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一般公共预算财政拨款基本支出决算表</w:t>
            </w:r>
          </w:p>
        </w:tc>
      </w:tr>
      <w:tr w14:paraId="7721EE8F">
        <w:tblPrEx>
          <w:tblCellMar>
            <w:top w:w="0" w:type="dxa"/>
            <w:left w:w="0" w:type="dxa"/>
            <w:bottom w:w="0" w:type="dxa"/>
            <w:right w:w="0" w:type="dxa"/>
          </w:tblCellMar>
        </w:tblPrEx>
        <w:trPr>
          <w:trHeight w:val="90" w:hRule="atLeast"/>
        </w:trPr>
        <w:tc>
          <w:tcPr>
            <w:tcW w:w="7071" w:type="dxa"/>
            <w:gridSpan w:val="5"/>
            <w:vMerge w:val="restart"/>
            <w:tcBorders>
              <w:top w:val="nil"/>
              <w:left w:val="nil"/>
              <w:right w:val="nil"/>
            </w:tcBorders>
            <w:shd w:val="clear" w:color="auto" w:fill="auto"/>
            <w:noWrap/>
            <w:tcMar>
              <w:top w:w="15" w:type="dxa"/>
              <w:left w:w="15" w:type="dxa"/>
              <w:right w:w="15" w:type="dxa"/>
            </w:tcMar>
            <w:vAlign w:val="bottom"/>
          </w:tcPr>
          <w:p w14:paraId="6E0C3E4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color w:val="000000"/>
                <w:sz w:val="20"/>
                <w:szCs w:val="20"/>
              </w:rPr>
              <w:t xml:space="preserve">： </w:t>
            </w:r>
            <w:r>
              <w:rPr>
                <w:rFonts w:hint="eastAsia" w:ascii="Times New Roman" w:hAnsi="Times New Roman" w:eastAsia="方正仿宋_GBK" w:cs="方正仿宋_GBK"/>
                <w:color w:val="000000"/>
                <w:sz w:val="20"/>
                <w:u w:color="auto"/>
              </w:rPr>
              <w:t>中国共产党巫溪县委员会政法委员会</w:t>
            </w:r>
          </w:p>
        </w:tc>
        <w:tc>
          <w:tcPr>
            <w:tcW w:w="1100" w:type="dxa"/>
            <w:tcBorders>
              <w:top w:val="nil"/>
              <w:left w:val="nil"/>
              <w:bottom w:val="nil"/>
              <w:right w:val="nil"/>
            </w:tcBorders>
            <w:shd w:val="clear" w:color="auto" w:fill="auto"/>
            <w:noWrap/>
            <w:tcMar>
              <w:top w:w="15" w:type="dxa"/>
              <w:left w:w="15" w:type="dxa"/>
              <w:right w:w="15" w:type="dxa"/>
            </w:tcMar>
            <w:vAlign w:val="bottom"/>
          </w:tcPr>
          <w:p w14:paraId="5C54BDD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850" w:type="dxa"/>
            <w:tcBorders>
              <w:top w:val="nil"/>
              <w:left w:val="nil"/>
              <w:bottom w:val="nil"/>
              <w:right w:val="nil"/>
            </w:tcBorders>
            <w:shd w:val="clear" w:color="auto" w:fill="auto"/>
            <w:noWrap/>
            <w:tcMar>
              <w:top w:w="15" w:type="dxa"/>
              <w:left w:w="15" w:type="dxa"/>
              <w:right w:w="15" w:type="dxa"/>
            </w:tcMar>
            <w:vAlign w:val="bottom"/>
          </w:tcPr>
          <w:p w14:paraId="0AD2705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046" w:type="dxa"/>
            <w:tcBorders>
              <w:top w:val="nil"/>
              <w:left w:val="nil"/>
              <w:bottom w:val="nil"/>
              <w:right w:val="nil"/>
            </w:tcBorders>
            <w:shd w:val="clear" w:color="auto" w:fill="auto"/>
            <w:noWrap/>
            <w:tcMar>
              <w:top w:w="15" w:type="dxa"/>
              <w:left w:w="15" w:type="dxa"/>
              <w:right w:w="15" w:type="dxa"/>
            </w:tcMar>
            <w:vAlign w:val="bottom"/>
          </w:tcPr>
          <w:p w14:paraId="2ACE359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669" w:type="dxa"/>
            <w:tcBorders>
              <w:top w:val="nil"/>
              <w:left w:val="nil"/>
              <w:bottom w:val="nil"/>
              <w:right w:val="nil"/>
            </w:tcBorders>
            <w:shd w:val="clear" w:color="auto" w:fill="auto"/>
            <w:noWrap/>
            <w:tcMar>
              <w:top w:w="15" w:type="dxa"/>
              <w:left w:w="15" w:type="dxa"/>
              <w:right w:w="15" w:type="dxa"/>
            </w:tcMar>
            <w:vAlign w:val="bottom"/>
          </w:tcPr>
          <w:p w14:paraId="2A3EB5A8">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公开06表</w:t>
            </w:r>
          </w:p>
        </w:tc>
      </w:tr>
      <w:tr w14:paraId="63FF676E">
        <w:tblPrEx>
          <w:tblCellMar>
            <w:top w:w="0" w:type="dxa"/>
            <w:left w:w="0" w:type="dxa"/>
            <w:bottom w:w="0" w:type="dxa"/>
            <w:right w:w="0" w:type="dxa"/>
          </w:tblCellMar>
        </w:tblPrEx>
        <w:trPr>
          <w:trHeight w:val="90" w:hRule="atLeast"/>
        </w:trPr>
        <w:tc>
          <w:tcPr>
            <w:tcW w:w="7071" w:type="dxa"/>
            <w:gridSpan w:val="5"/>
            <w:vMerge w:val="continue"/>
            <w:tcBorders>
              <w:left w:val="nil"/>
              <w:bottom w:val="nil"/>
              <w:right w:val="nil"/>
            </w:tcBorders>
            <w:shd w:val="clear" w:color="auto" w:fill="auto"/>
            <w:noWrap/>
            <w:tcMar>
              <w:top w:w="15" w:type="dxa"/>
              <w:left w:w="15" w:type="dxa"/>
              <w:right w:w="15" w:type="dxa"/>
            </w:tcMar>
            <w:vAlign w:val="bottom"/>
          </w:tcPr>
          <w:p w14:paraId="2253F02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100" w:type="dxa"/>
            <w:tcBorders>
              <w:top w:val="nil"/>
              <w:left w:val="nil"/>
              <w:bottom w:val="nil"/>
              <w:right w:val="nil"/>
            </w:tcBorders>
            <w:shd w:val="clear" w:color="auto" w:fill="auto"/>
            <w:noWrap/>
            <w:tcMar>
              <w:top w:w="15" w:type="dxa"/>
              <w:left w:w="15" w:type="dxa"/>
              <w:right w:w="15" w:type="dxa"/>
            </w:tcMar>
            <w:vAlign w:val="bottom"/>
          </w:tcPr>
          <w:p w14:paraId="0E54EEA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850" w:type="dxa"/>
            <w:tcBorders>
              <w:top w:val="nil"/>
              <w:left w:val="nil"/>
              <w:bottom w:val="nil"/>
              <w:right w:val="nil"/>
            </w:tcBorders>
            <w:shd w:val="clear" w:color="auto" w:fill="auto"/>
            <w:noWrap/>
            <w:tcMar>
              <w:top w:w="15" w:type="dxa"/>
              <w:left w:w="15" w:type="dxa"/>
              <w:right w:w="15" w:type="dxa"/>
            </w:tcMar>
            <w:vAlign w:val="bottom"/>
          </w:tcPr>
          <w:p w14:paraId="74A359F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046" w:type="dxa"/>
            <w:tcBorders>
              <w:top w:val="nil"/>
              <w:left w:val="nil"/>
              <w:bottom w:val="nil"/>
              <w:right w:val="nil"/>
            </w:tcBorders>
            <w:shd w:val="clear" w:color="auto" w:fill="auto"/>
            <w:noWrap/>
            <w:tcMar>
              <w:top w:w="15" w:type="dxa"/>
              <w:left w:w="15" w:type="dxa"/>
              <w:right w:w="15" w:type="dxa"/>
            </w:tcMar>
            <w:vAlign w:val="bottom"/>
          </w:tcPr>
          <w:p w14:paraId="7259805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669" w:type="dxa"/>
            <w:tcBorders>
              <w:top w:val="nil"/>
              <w:left w:val="nil"/>
              <w:bottom w:val="nil"/>
              <w:right w:val="nil"/>
            </w:tcBorders>
            <w:shd w:val="clear" w:color="auto" w:fill="auto"/>
            <w:noWrap/>
            <w:tcMar>
              <w:top w:w="15" w:type="dxa"/>
              <w:left w:w="15" w:type="dxa"/>
              <w:right w:w="15" w:type="dxa"/>
            </w:tcMar>
            <w:vAlign w:val="bottom"/>
          </w:tcPr>
          <w:p w14:paraId="0791F7A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4023B45C">
        <w:tblPrEx>
          <w:tblCellMar>
            <w:top w:w="0" w:type="dxa"/>
            <w:left w:w="0" w:type="dxa"/>
            <w:bottom w:w="0" w:type="dxa"/>
            <w:right w:w="0" w:type="dxa"/>
          </w:tblCellMar>
        </w:tblPrEx>
        <w:trPr>
          <w:trHeight w:val="90" w:hRule="atLeast"/>
        </w:trPr>
        <w:tc>
          <w:tcPr>
            <w:tcW w:w="42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B5BA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人员经费</w:t>
            </w:r>
          </w:p>
        </w:tc>
        <w:tc>
          <w:tcPr>
            <w:tcW w:w="9515"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A4092A8">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公用经费</w:t>
            </w:r>
          </w:p>
        </w:tc>
      </w:tr>
      <w:tr w14:paraId="0112C282">
        <w:tblPrEx>
          <w:tblCellMar>
            <w:top w:w="0" w:type="dxa"/>
            <w:left w:w="0" w:type="dxa"/>
            <w:bottom w:w="0" w:type="dxa"/>
            <w:right w:w="0" w:type="dxa"/>
          </w:tblCellMar>
        </w:tblPrEx>
        <w:trPr>
          <w:trHeight w:val="312" w:hRule="atLeast"/>
        </w:trPr>
        <w:tc>
          <w:tcPr>
            <w:tcW w:w="79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DC293">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经济分类科目编码</w:t>
            </w:r>
          </w:p>
        </w:tc>
        <w:tc>
          <w:tcPr>
            <w:tcW w:w="219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335B33">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经济分类科目（按“款”级功能分类科目）</w:t>
            </w:r>
          </w:p>
        </w:tc>
        <w:tc>
          <w:tcPr>
            <w:tcW w:w="12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0E588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金额</w:t>
            </w:r>
          </w:p>
        </w:tc>
        <w:tc>
          <w:tcPr>
            <w:tcW w:w="101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A16356">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经济分类科目编码</w:t>
            </w:r>
          </w:p>
        </w:tc>
        <w:tc>
          <w:tcPr>
            <w:tcW w:w="183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418B6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经济分类科目（按“款”级功能分类科目）</w:t>
            </w:r>
          </w:p>
        </w:tc>
        <w:tc>
          <w:tcPr>
            <w:tcW w:w="11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1126B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金额</w:t>
            </w:r>
          </w:p>
        </w:tc>
        <w:tc>
          <w:tcPr>
            <w:tcW w:w="85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8FC7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经济分类科目编码</w:t>
            </w:r>
          </w:p>
        </w:tc>
        <w:tc>
          <w:tcPr>
            <w:tcW w:w="204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30751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经济分类科目（按“款”级功能分类科目）</w:t>
            </w:r>
          </w:p>
        </w:tc>
        <w:tc>
          <w:tcPr>
            <w:tcW w:w="266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C188E3">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金额</w:t>
            </w:r>
          </w:p>
        </w:tc>
      </w:tr>
      <w:tr w14:paraId="080B62B3">
        <w:tblPrEx>
          <w:tblCellMar>
            <w:top w:w="0" w:type="dxa"/>
            <w:left w:w="0" w:type="dxa"/>
            <w:bottom w:w="0" w:type="dxa"/>
            <w:right w:w="0" w:type="dxa"/>
          </w:tblCellMar>
        </w:tblPrEx>
        <w:trPr>
          <w:trHeight w:val="312" w:hRule="atLeast"/>
        </w:trPr>
        <w:tc>
          <w:tcPr>
            <w:tcW w:w="79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50800">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219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EE655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2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A474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01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AA2E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83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D6029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11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594C6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85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73A4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204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5EBF3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c>
          <w:tcPr>
            <w:tcW w:w="266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688C3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18"/>
                <w:szCs w:val="18"/>
              </w:rPr>
            </w:pPr>
          </w:p>
        </w:tc>
      </w:tr>
      <w:tr w14:paraId="78BE948B">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816F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8060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工资福利支出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0FF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403.85</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460F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D82C5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商品和服务支出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C59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53.79</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EFF5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D596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资本性支出</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E8E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0.07</w:t>
            </w:r>
            <w:r>
              <w:rPr>
                <w:rFonts w:hint="eastAsia" w:ascii="Times New Roman" w:hAnsi="Times New Roman" w:eastAsia="方正仿宋_GBK" w:cs="方正仿宋_GBK"/>
                <w:color w:val="000000"/>
                <w:sz w:val="18"/>
                <w:u w:color="auto"/>
              </w:rPr>
              <w:t xml:space="preserve"> </w:t>
            </w:r>
          </w:p>
        </w:tc>
      </w:tr>
      <w:tr w14:paraId="677D7AAD">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3E40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30101</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BE29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基本工资</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B3B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119.87</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3A62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30201</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F20C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办公费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5A8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19.27</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35E0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31001</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BAA5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房屋建筑物购建</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A14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A67F656">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67E7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30102</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B3F2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津贴补贴</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937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79.76</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A54A4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30202</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FC99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印刷费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FCA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2.68</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576C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31002</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F9AC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办公设备购置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911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0.07</w:t>
            </w:r>
            <w:r>
              <w:rPr>
                <w:rFonts w:hint="eastAsia" w:ascii="Times New Roman" w:hAnsi="Times New Roman" w:eastAsia="方正仿宋_GBK" w:cs="方正仿宋_GBK"/>
                <w:color w:val="000000"/>
                <w:sz w:val="18"/>
                <w:u w:color="auto"/>
              </w:rPr>
              <w:t xml:space="preserve"> </w:t>
            </w:r>
          </w:p>
        </w:tc>
      </w:tr>
      <w:tr w14:paraId="63762179">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9162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30103</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5616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奖金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39D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69.76</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8294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30203</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CA8A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咨询费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5FF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0.07</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6876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31003</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C886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专用设备购置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F46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B4FBBC9">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4CB8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30106</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FE32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伙食补助费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26B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A1AD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30204</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384E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手续费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63F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B426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31005</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D4E7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基础设施建设</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51C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3D47C61">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0A74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30107</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281B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绩效工资</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33A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9.85</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C006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30205</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5C87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水费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3FB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0.05</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B15D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31006</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83EF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大型修缮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828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A08F8ED">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A355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30108</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4CEA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机关事业单位基本养老保险缴费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662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51.90</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CCF1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30206</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F163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电费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D74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0.29</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95A9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31007</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EF29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信息网络及软件购置更新</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745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983DB5B">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FFC5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30109</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FA98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职业年金缴费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2A4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19.32</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320C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30207</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63CA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邮电费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981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0.85</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AD89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31008</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B09C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物资储备</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F9F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95158C7">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2DE1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30110</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10D4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职工基本医疗保险缴费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641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17.39</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9907E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30208</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59A9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取暖费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CA5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4E94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31009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4F32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土地补偿</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439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6B1A796">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402BB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30111</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4A4E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公务员医疗补助缴费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99B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7A04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30209</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4557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物业管理费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BC1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1.00</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4A707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31010</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4BCE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安置补助</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E8C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1221CC5">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B3EB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30112</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CC4B8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其他社会保障缴费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8F7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0.75</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3D1D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30211</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9B85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差旅费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7CD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3.72</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7A0C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31011</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4E57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地上附着物和青苗补偿</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EBD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6D4C408">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4518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30113</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6BDD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住房公积金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264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35.25</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7D1A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30212</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2455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因公出国（境）费用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6EE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DA7E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31012</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4B7C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拆迁补偿</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6E9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0119094">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C28D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30114</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21ED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医疗费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62B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10CA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30213</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ACA7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维修（护）费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280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0.05</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0868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31013</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9ED4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公务用车购置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F01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0EA9F822">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6B05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30199</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A1CB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其他工资福利支出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00E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1FF6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30214</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9ACF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租赁费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426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FC10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31019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6ED5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其他交通工具购置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2E9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2122A32">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CE47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8EA2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对个人和家庭的补助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68A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29.52</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09A3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30215</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2989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会议费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836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3.97</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9BC51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31021</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C056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文物和陈列品购置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FC5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F445338">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9FF0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30301</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3C1D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离休费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B41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1306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30216</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3B66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培训费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A28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3.19</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BC3B8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31022</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3E24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无形资产购置</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7CF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108359B2">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92BD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30302</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4C18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退休费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16B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62A5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30217</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6699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公务接待费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610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0.38</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1923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31099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8814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其他资本性支出</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45D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E51050A">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BCAE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30303</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819E0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退职（役）费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EEB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091A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30218</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1E41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专用材料费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1A0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EC169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312</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2D51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对企业补助</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1583">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643D9B1">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669F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30304</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00E2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抚恤金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C548">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ED18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30224</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F5EC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被装购置费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A74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F392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31201</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B3D8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资本金注入</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3FE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81F85E8">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5B4C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30305</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DAE3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生活补助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E05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21.60</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9F33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30225</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F040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专用燃料费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4CD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FE5A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31203</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D734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政府投资基金股权投资</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A18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56ABFA26">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DEC6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30306</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6B3E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救济费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F48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60C9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30226</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46D0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劳务费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632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0.94</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4872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31204</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057A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费用补贴</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A1E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3CEF43B">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7F02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30307</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3541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医疗费补助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F61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0.30</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EB85C">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30227</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11DC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委托业务费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095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C08B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31205</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4A71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利息补贴</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F5C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96857FA">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19337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30308</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3C61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助学金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ADB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51FC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30228</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52E7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工会经费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2C0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2.20</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9CB3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31299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D32E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其他对企业补助</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84C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295D6B51">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2724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30309</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1E92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奖励金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8D1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7.62</w:t>
            </w: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9739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30229</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33C0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福利费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FE3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3.06</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0C6B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909A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其他支出</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06F5">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3EFFAFD">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795F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30310</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AA88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个人农业生产补贴</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B02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C687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30231</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DFE8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公务用车运行维护费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6F5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27B7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39907</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94D9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国家赔偿费用支出</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1FC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78958D6A">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C70D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30311</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CF2E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代缴社会保险费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165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7E97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30239</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650B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其他交通费用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A79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9.74</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737A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39908</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A5CF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对民间非营利组织和群众性自治组织补贴</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4364">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BAC7DEC">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F1F0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30399</w:t>
            </w: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45CC4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其他对个人和家庭的补助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D75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F07A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30240</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0E07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税金及附加费用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EDE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77D2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39909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C721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经常性赠与</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7642">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676B27A5">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E4D9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AF07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93B23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9B10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30299</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0082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其他商品和服务支出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F251">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2.32</w:t>
            </w: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D0CE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39910</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7547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资本性赠与</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327E">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D7811F0">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F3FC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9E776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A00D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C8C9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307</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A99E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债务利息及费用支出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EDA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9D45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39999</w:t>
            </w: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808F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其他支出</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00C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r>
      <w:tr w14:paraId="4F7ADA02">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AC5E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F673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3FE5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4E37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30701</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1E4A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国内债务付息</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D5BA">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EA90D">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797F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ED46">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r>
      <w:tr w14:paraId="7BDBAECC">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D4597">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0FA6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71CD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6343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30702</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68665">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国外债务付息</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49F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A501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A63E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BD7D">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r>
      <w:tr w14:paraId="68710527">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A285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3228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D3C66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80C3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30703</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35EE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国内债务发行费用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B480">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51831">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9CED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4AFE">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r>
      <w:tr w14:paraId="7CC75292">
        <w:tblPrEx>
          <w:tblCellMar>
            <w:top w:w="0" w:type="dxa"/>
            <w:left w:w="0" w:type="dxa"/>
            <w:bottom w:w="0" w:type="dxa"/>
            <w:right w:w="0" w:type="dxa"/>
          </w:tblCellMar>
        </w:tblPrEx>
        <w:trPr>
          <w:trHeight w:val="510" w:hRule="exact"/>
        </w:trPr>
        <w:tc>
          <w:tcPr>
            <w:tcW w:w="79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BE58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19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9865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67A835">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10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43C8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30704</w:t>
            </w:r>
          </w:p>
        </w:tc>
        <w:tc>
          <w:tcPr>
            <w:tcW w:w="18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6D34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 xml:space="preserve">  国外债务发行费用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212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u w:color="auto"/>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CB6A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04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E52F4">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18"/>
                <w:szCs w:val="18"/>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2463">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sz w:val="18"/>
                <w:szCs w:val="18"/>
              </w:rPr>
            </w:pPr>
          </w:p>
        </w:tc>
      </w:tr>
      <w:tr w14:paraId="702FCEDE">
        <w:tblPrEx>
          <w:tblCellMar>
            <w:top w:w="0" w:type="dxa"/>
            <w:left w:w="0" w:type="dxa"/>
            <w:bottom w:w="0" w:type="dxa"/>
            <w:right w:w="0" w:type="dxa"/>
          </w:tblCellMar>
        </w:tblPrEx>
        <w:trPr>
          <w:trHeight w:val="510" w:hRule="exact"/>
        </w:trPr>
        <w:tc>
          <w:tcPr>
            <w:tcW w:w="299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5CDB6">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人员经费合计</w:t>
            </w:r>
          </w:p>
        </w:tc>
        <w:tc>
          <w:tcPr>
            <w:tcW w:w="12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23958">
            <w:pPr>
              <w:keepNext w:val="0"/>
              <w:keepLines w:val="0"/>
              <w:pageBreakBefore w:val="0"/>
              <w:kinsoku/>
              <w:wordWrap w:val="0"/>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433.37</w:t>
            </w:r>
            <w:r>
              <w:rPr>
                <w:rFonts w:hint="eastAsia" w:ascii="Times New Roman" w:hAnsi="Times New Roman" w:eastAsia="方正仿宋_GBK" w:cs="方正仿宋_GBK"/>
                <w:color w:val="000000"/>
                <w:sz w:val="18"/>
                <w:u w:color="auto"/>
              </w:rPr>
              <w:t xml:space="preserve"> </w:t>
            </w:r>
          </w:p>
        </w:tc>
        <w:tc>
          <w:tcPr>
            <w:tcW w:w="6846"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399B7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18"/>
                <w:szCs w:val="18"/>
              </w:rPr>
            </w:pPr>
            <w:r>
              <w:rPr>
                <w:rFonts w:hint="eastAsia" w:ascii="Times New Roman" w:hAnsi="Times New Roman" w:eastAsia="方正仿宋_GBK" w:cs="方正仿宋_GBK"/>
                <w:b/>
                <w:color w:val="000000"/>
                <w:sz w:val="18"/>
                <w:szCs w:val="18"/>
              </w:rPr>
              <w:t>公用经费合计</w:t>
            </w:r>
          </w:p>
        </w:tc>
        <w:tc>
          <w:tcPr>
            <w:tcW w:w="26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12DAC">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sz w:val="18"/>
                <w:szCs w:val="18"/>
              </w:rPr>
              <w:t>53.86</w:t>
            </w:r>
            <w:r>
              <w:rPr>
                <w:rFonts w:hint="eastAsia" w:ascii="Times New Roman" w:hAnsi="Times New Roman" w:eastAsia="方正仿宋_GBK" w:cs="方正仿宋_GBK"/>
                <w:color w:val="000000"/>
                <w:sz w:val="18"/>
                <w:u w:color="auto"/>
              </w:rPr>
              <w:t xml:space="preserve"> </w:t>
            </w:r>
          </w:p>
        </w:tc>
      </w:tr>
    </w:tbl>
    <w:p w14:paraId="16BD5A16">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备注：1.本表反映部门本年度一般公共预算财政拨款基本支出明细情况。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1"/>
          <w:szCs w:val="21"/>
        </w:rPr>
        <w:br w:type="page"/>
      </w:r>
    </w:p>
    <w:tbl>
      <w:tblPr>
        <w:tblStyle w:val="7"/>
        <w:tblW w:w="13752" w:type="dxa"/>
        <w:tblInd w:w="0" w:type="dxa"/>
        <w:tblLayout w:type="fixed"/>
        <w:tblCellMar>
          <w:top w:w="0" w:type="dxa"/>
          <w:left w:w="0" w:type="dxa"/>
          <w:bottom w:w="0" w:type="dxa"/>
          <w:right w:w="0" w:type="dxa"/>
        </w:tblCellMar>
      </w:tblPr>
      <w:tblGrid>
        <w:gridCol w:w="1658"/>
        <w:gridCol w:w="2761"/>
        <w:gridCol w:w="1526"/>
        <w:gridCol w:w="1526"/>
        <w:gridCol w:w="1526"/>
        <w:gridCol w:w="1527"/>
        <w:gridCol w:w="1585"/>
        <w:gridCol w:w="1643"/>
      </w:tblGrid>
      <w:tr w14:paraId="3B94530A">
        <w:tblPrEx>
          <w:tblCellMar>
            <w:top w:w="0" w:type="dxa"/>
            <w:left w:w="0" w:type="dxa"/>
            <w:bottom w:w="0" w:type="dxa"/>
            <w:right w:w="0" w:type="dxa"/>
          </w:tblCellMar>
        </w:tblPrEx>
        <w:trPr>
          <w:trHeight w:val="644" w:hRule="atLeast"/>
        </w:trPr>
        <w:tc>
          <w:tcPr>
            <w:tcW w:w="13752" w:type="dxa"/>
            <w:gridSpan w:val="8"/>
            <w:tcBorders>
              <w:top w:val="nil"/>
              <w:left w:val="nil"/>
              <w:bottom w:val="nil"/>
              <w:right w:val="nil"/>
            </w:tcBorders>
            <w:shd w:val="clear" w:color="auto" w:fill="auto"/>
            <w:noWrap/>
            <w:tcMar>
              <w:top w:w="15" w:type="dxa"/>
              <w:left w:w="15" w:type="dxa"/>
              <w:right w:w="15" w:type="dxa"/>
            </w:tcMar>
            <w:vAlign w:val="bottom"/>
          </w:tcPr>
          <w:p w14:paraId="50771E23">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政府性基金预算财政拨款收入支出决算表</w:t>
            </w:r>
          </w:p>
        </w:tc>
      </w:tr>
      <w:tr w14:paraId="6920C565">
        <w:tblPrEx>
          <w:tblCellMar>
            <w:top w:w="0" w:type="dxa"/>
            <w:left w:w="0" w:type="dxa"/>
            <w:bottom w:w="0" w:type="dxa"/>
            <w:right w:w="0" w:type="dxa"/>
          </w:tblCellMar>
        </w:tblPrEx>
        <w:trPr>
          <w:trHeight w:val="329" w:hRule="atLeast"/>
        </w:trPr>
        <w:tc>
          <w:tcPr>
            <w:tcW w:w="5945" w:type="dxa"/>
            <w:gridSpan w:val="3"/>
            <w:vMerge w:val="restart"/>
            <w:tcBorders>
              <w:top w:val="nil"/>
              <w:left w:val="nil"/>
              <w:right w:val="nil"/>
            </w:tcBorders>
            <w:shd w:val="clear" w:color="auto" w:fill="auto"/>
            <w:noWrap/>
            <w:tcMar>
              <w:top w:w="15" w:type="dxa"/>
              <w:left w:w="15" w:type="dxa"/>
              <w:right w:w="15" w:type="dxa"/>
            </w:tcMar>
            <w:vAlign w:val="bottom"/>
          </w:tcPr>
          <w:p w14:paraId="5011DAD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color w:val="000000"/>
                <w:sz w:val="20"/>
                <w:szCs w:val="20"/>
              </w:rPr>
              <w:t xml:space="preserve">： </w:t>
            </w:r>
            <w:r>
              <w:rPr>
                <w:rFonts w:hint="eastAsia" w:ascii="Times New Roman" w:hAnsi="Times New Roman" w:eastAsia="方正仿宋_GBK" w:cs="方正仿宋_GBK"/>
                <w:color w:val="000000"/>
                <w:sz w:val="20"/>
                <w:u w:color="auto"/>
              </w:rPr>
              <w:t>中国共产党巫溪县委员会政法委员会</w:t>
            </w:r>
          </w:p>
        </w:tc>
        <w:tc>
          <w:tcPr>
            <w:tcW w:w="1526" w:type="dxa"/>
            <w:tcBorders>
              <w:top w:val="nil"/>
              <w:left w:val="nil"/>
              <w:bottom w:val="nil"/>
              <w:right w:val="nil"/>
            </w:tcBorders>
            <w:shd w:val="clear" w:color="auto" w:fill="auto"/>
            <w:noWrap/>
            <w:tcMar>
              <w:top w:w="15" w:type="dxa"/>
              <w:left w:w="15" w:type="dxa"/>
              <w:right w:w="15" w:type="dxa"/>
            </w:tcMar>
            <w:vAlign w:val="bottom"/>
          </w:tcPr>
          <w:p w14:paraId="7F5BBF6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6" w:type="dxa"/>
            <w:tcBorders>
              <w:top w:val="nil"/>
              <w:left w:val="nil"/>
              <w:bottom w:val="nil"/>
              <w:right w:val="nil"/>
            </w:tcBorders>
            <w:shd w:val="clear" w:color="auto" w:fill="auto"/>
            <w:noWrap/>
            <w:tcMar>
              <w:top w:w="15" w:type="dxa"/>
              <w:left w:w="15" w:type="dxa"/>
              <w:right w:w="15" w:type="dxa"/>
            </w:tcMar>
            <w:vAlign w:val="bottom"/>
          </w:tcPr>
          <w:p w14:paraId="4530319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bottom"/>
          </w:tcPr>
          <w:p w14:paraId="6DA5283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85" w:type="dxa"/>
            <w:tcBorders>
              <w:top w:val="nil"/>
              <w:left w:val="nil"/>
              <w:bottom w:val="nil"/>
              <w:right w:val="nil"/>
            </w:tcBorders>
            <w:shd w:val="clear" w:color="auto" w:fill="auto"/>
            <w:noWrap/>
            <w:tcMar>
              <w:top w:w="15" w:type="dxa"/>
              <w:left w:w="15" w:type="dxa"/>
              <w:right w:w="15" w:type="dxa"/>
            </w:tcMar>
            <w:vAlign w:val="bottom"/>
          </w:tcPr>
          <w:p w14:paraId="4CDE4DB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643" w:type="dxa"/>
            <w:tcBorders>
              <w:top w:val="nil"/>
              <w:left w:val="nil"/>
              <w:bottom w:val="nil"/>
              <w:right w:val="nil"/>
            </w:tcBorders>
            <w:shd w:val="clear" w:color="auto" w:fill="auto"/>
            <w:noWrap/>
            <w:tcMar>
              <w:top w:w="15" w:type="dxa"/>
              <w:left w:w="15" w:type="dxa"/>
              <w:right w:w="15" w:type="dxa"/>
            </w:tcMar>
            <w:vAlign w:val="bottom"/>
          </w:tcPr>
          <w:p w14:paraId="48F4985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公开07表</w:t>
            </w:r>
          </w:p>
        </w:tc>
      </w:tr>
      <w:tr w14:paraId="300FF412">
        <w:tblPrEx>
          <w:tblCellMar>
            <w:top w:w="0" w:type="dxa"/>
            <w:left w:w="0" w:type="dxa"/>
            <w:bottom w:w="0" w:type="dxa"/>
            <w:right w:w="0" w:type="dxa"/>
          </w:tblCellMar>
        </w:tblPrEx>
        <w:trPr>
          <w:trHeight w:val="329" w:hRule="atLeast"/>
        </w:trPr>
        <w:tc>
          <w:tcPr>
            <w:tcW w:w="5945" w:type="dxa"/>
            <w:gridSpan w:val="3"/>
            <w:vMerge w:val="continue"/>
            <w:tcBorders>
              <w:left w:val="nil"/>
              <w:bottom w:val="nil"/>
              <w:right w:val="nil"/>
            </w:tcBorders>
            <w:shd w:val="clear" w:color="auto" w:fill="auto"/>
            <w:noWrap/>
            <w:tcMar>
              <w:top w:w="15" w:type="dxa"/>
              <w:left w:w="15" w:type="dxa"/>
              <w:right w:w="15" w:type="dxa"/>
            </w:tcMar>
            <w:vAlign w:val="bottom"/>
          </w:tcPr>
          <w:p w14:paraId="795F2CA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6" w:type="dxa"/>
            <w:tcBorders>
              <w:top w:val="nil"/>
              <w:left w:val="nil"/>
              <w:bottom w:val="nil"/>
              <w:right w:val="nil"/>
            </w:tcBorders>
            <w:shd w:val="clear" w:color="auto" w:fill="auto"/>
            <w:noWrap/>
            <w:tcMar>
              <w:top w:w="15" w:type="dxa"/>
              <w:left w:w="15" w:type="dxa"/>
              <w:right w:w="15" w:type="dxa"/>
            </w:tcMar>
            <w:vAlign w:val="bottom"/>
          </w:tcPr>
          <w:p w14:paraId="426965B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6" w:type="dxa"/>
            <w:tcBorders>
              <w:top w:val="nil"/>
              <w:left w:val="nil"/>
              <w:bottom w:val="nil"/>
              <w:right w:val="nil"/>
            </w:tcBorders>
            <w:shd w:val="clear" w:color="auto" w:fill="auto"/>
            <w:noWrap/>
            <w:tcMar>
              <w:top w:w="15" w:type="dxa"/>
              <w:left w:w="15" w:type="dxa"/>
              <w:right w:w="15" w:type="dxa"/>
            </w:tcMar>
            <w:vAlign w:val="bottom"/>
          </w:tcPr>
          <w:p w14:paraId="430A7460">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bottom"/>
          </w:tcPr>
          <w:p w14:paraId="4E42BAB2">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585" w:type="dxa"/>
            <w:tcBorders>
              <w:top w:val="nil"/>
              <w:left w:val="nil"/>
              <w:bottom w:val="nil"/>
              <w:right w:val="nil"/>
            </w:tcBorders>
            <w:shd w:val="clear" w:color="auto" w:fill="auto"/>
            <w:noWrap/>
            <w:tcMar>
              <w:top w:w="15" w:type="dxa"/>
              <w:left w:w="15" w:type="dxa"/>
              <w:right w:w="15" w:type="dxa"/>
            </w:tcMar>
            <w:vAlign w:val="bottom"/>
          </w:tcPr>
          <w:p w14:paraId="5CE3B58F">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1643" w:type="dxa"/>
            <w:tcBorders>
              <w:top w:val="nil"/>
              <w:left w:val="nil"/>
              <w:bottom w:val="nil"/>
              <w:right w:val="nil"/>
            </w:tcBorders>
            <w:shd w:val="clear" w:color="auto" w:fill="auto"/>
            <w:noWrap/>
            <w:tcMar>
              <w:top w:w="15" w:type="dxa"/>
              <w:left w:w="15" w:type="dxa"/>
              <w:right w:w="15" w:type="dxa"/>
            </w:tcMar>
            <w:vAlign w:val="bottom"/>
          </w:tcPr>
          <w:p w14:paraId="26A23A7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47D0B292">
        <w:tblPrEx>
          <w:tblCellMar>
            <w:top w:w="0" w:type="dxa"/>
            <w:left w:w="0" w:type="dxa"/>
            <w:bottom w:w="0" w:type="dxa"/>
            <w:right w:w="0" w:type="dxa"/>
          </w:tblCellMar>
        </w:tblPrEx>
        <w:trPr>
          <w:trHeight w:val="339" w:hRule="atLeast"/>
        </w:trPr>
        <w:tc>
          <w:tcPr>
            <w:tcW w:w="441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BDF9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w:t>
            </w:r>
          </w:p>
        </w:tc>
        <w:tc>
          <w:tcPr>
            <w:tcW w:w="152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31931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年初结转和结余</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6A04B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本年收入</w:t>
            </w:r>
          </w:p>
        </w:tc>
        <w:tc>
          <w:tcPr>
            <w:tcW w:w="463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F0B90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本年支出</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543F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年末结转和结余</w:t>
            </w:r>
          </w:p>
        </w:tc>
      </w:tr>
      <w:tr w14:paraId="19C8866D">
        <w:tblPrEx>
          <w:tblCellMar>
            <w:top w:w="0" w:type="dxa"/>
            <w:left w:w="0" w:type="dxa"/>
            <w:bottom w:w="0" w:type="dxa"/>
            <w:right w:w="0" w:type="dxa"/>
          </w:tblCellMar>
        </w:tblPrEx>
        <w:trPr>
          <w:trHeight w:val="335"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21FEF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功能分类科目编码</w:t>
            </w:r>
          </w:p>
        </w:tc>
        <w:tc>
          <w:tcPr>
            <w:tcW w:w="27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C8FE8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项目（按“项”级功能分类科目）</w:t>
            </w:r>
          </w:p>
        </w:tc>
        <w:tc>
          <w:tcPr>
            <w:tcW w:w="15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643FA5">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599F8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BFE75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1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AE12D5">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基本支出</w:t>
            </w:r>
          </w:p>
        </w:tc>
        <w:tc>
          <w:tcPr>
            <w:tcW w:w="158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34C590">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项目支出</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B53DB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30367019">
        <w:tblPrEx>
          <w:tblCellMar>
            <w:top w:w="0" w:type="dxa"/>
            <w:left w:w="0" w:type="dxa"/>
            <w:bottom w:w="0" w:type="dxa"/>
            <w:right w:w="0" w:type="dxa"/>
          </w:tblCellMar>
        </w:tblPrEx>
        <w:trPr>
          <w:trHeight w:val="335"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19B3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7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BE5A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0B2434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C1CDAA">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DBBCA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1F61E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D0D99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5ADFB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00F3D6A3">
        <w:tblPrEx>
          <w:tblCellMar>
            <w:top w:w="0" w:type="dxa"/>
            <w:left w:w="0" w:type="dxa"/>
            <w:bottom w:w="0" w:type="dxa"/>
            <w:right w:w="0" w:type="dxa"/>
          </w:tblCellMar>
        </w:tblPrEx>
        <w:trPr>
          <w:trHeight w:val="645"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0A73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7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B024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417AD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BC3D7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E7226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212D51">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5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1459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0421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5B8D2B23">
        <w:tblPrEx>
          <w:tblCellMar>
            <w:top w:w="0" w:type="dxa"/>
            <w:left w:w="0" w:type="dxa"/>
            <w:bottom w:w="0" w:type="dxa"/>
            <w:right w:w="0" w:type="dxa"/>
          </w:tblCellMar>
        </w:tblPrEx>
        <w:trPr>
          <w:trHeight w:val="339" w:hRule="atLeast"/>
        </w:trPr>
        <w:tc>
          <w:tcPr>
            <w:tcW w:w="4419"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1277D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15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5686">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5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9A8B">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5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734A7">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267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4EA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1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F079">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r>
    </w:tbl>
    <w:p w14:paraId="33A9AB8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0"/>
          <w:szCs w:val="20"/>
        </w:rPr>
        <w:t>备注：本表反映部门本年度政府性基金预算财政拨款收入支出及结转和结余情况。本部门无政府性基金收支，故本表无数据。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14:paraId="687D974C">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br w:type="page"/>
      </w:r>
    </w:p>
    <w:tbl>
      <w:tblPr>
        <w:tblStyle w:val="7"/>
        <w:tblW w:w="13752" w:type="dxa"/>
        <w:tblInd w:w="0" w:type="dxa"/>
        <w:tblLayout w:type="fixed"/>
        <w:tblCellMar>
          <w:top w:w="0" w:type="dxa"/>
          <w:left w:w="0" w:type="dxa"/>
          <w:bottom w:w="0" w:type="dxa"/>
          <w:right w:w="0" w:type="dxa"/>
        </w:tblCellMar>
      </w:tblPr>
      <w:tblGrid>
        <w:gridCol w:w="1683"/>
        <w:gridCol w:w="2737"/>
        <w:gridCol w:w="2929"/>
        <w:gridCol w:w="179"/>
        <w:gridCol w:w="3108"/>
        <w:gridCol w:w="69"/>
        <w:gridCol w:w="3047"/>
      </w:tblGrid>
      <w:tr w14:paraId="06D634EA">
        <w:tblPrEx>
          <w:tblCellMar>
            <w:top w:w="0" w:type="dxa"/>
            <w:left w:w="0" w:type="dxa"/>
            <w:bottom w:w="0" w:type="dxa"/>
            <w:right w:w="0" w:type="dxa"/>
          </w:tblCellMar>
        </w:tblPrEx>
        <w:trPr>
          <w:trHeight w:val="650" w:hRule="atLeast"/>
        </w:trPr>
        <w:tc>
          <w:tcPr>
            <w:tcW w:w="13752" w:type="dxa"/>
            <w:gridSpan w:val="7"/>
            <w:tcBorders>
              <w:top w:val="nil"/>
              <w:left w:val="nil"/>
              <w:bottom w:val="nil"/>
              <w:right w:val="nil"/>
            </w:tcBorders>
            <w:shd w:val="clear" w:color="auto" w:fill="auto"/>
            <w:noWrap/>
            <w:tcMar>
              <w:top w:w="15" w:type="dxa"/>
              <w:left w:w="15" w:type="dxa"/>
              <w:right w:w="15" w:type="dxa"/>
            </w:tcMar>
            <w:vAlign w:val="bottom"/>
          </w:tcPr>
          <w:p w14:paraId="5603EA57">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32"/>
                <w:szCs w:val="32"/>
              </w:rPr>
            </w:pPr>
            <w:r>
              <w:rPr>
                <w:rFonts w:hint="eastAsia" w:ascii="Times New Roman" w:hAnsi="Times New Roman" w:eastAsia="方正仿宋_GBK" w:cs="方正仿宋_GBK"/>
                <w:b/>
                <w:color w:val="000000"/>
                <w:sz w:val="32"/>
                <w:szCs w:val="32"/>
              </w:rPr>
              <w:t>国有资本经营预算财政拨款支出决算表</w:t>
            </w:r>
          </w:p>
        </w:tc>
      </w:tr>
      <w:tr w14:paraId="43F4A0F2">
        <w:tblPrEx>
          <w:tblCellMar>
            <w:top w:w="0" w:type="dxa"/>
            <w:left w:w="0" w:type="dxa"/>
            <w:bottom w:w="0" w:type="dxa"/>
            <w:right w:w="0" w:type="dxa"/>
          </w:tblCellMar>
        </w:tblPrEx>
        <w:trPr>
          <w:trHeight w:val="332" w:hRule="atLeast"/>
        </w:trPr>
        <w:tc>
          <w:tcPr>
            <w:tcW w:w="7349" w:type="dxa"/>
            <w:gridSpan w:val="3"/>
            <w:vMerge w:val="restart"/>
            <w:tcBorders>
              <w:top w:val="nil"/>
              <w:left w:val="nil"/>
              <w:right w:val="nil"/>
            </w:tcBorders>
            <w:shd w:val="clear" w:color="auto" w:fill="auto"/>
            <w:noWrap/>
            <w:tcMar>
              <w:top w:w="15" w:type="dxa"/>
              <w:left w:w="15" w:type="dxa"/>
              <w:right w:w="15" w:type="dxa"/>
            </w:tcMar>
            <w:vAlign w:val="bottom"/>
          </w:tcPr>
          <w:p w14:paraId="46246DD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公开部门</w:t>
            </w:r>
            <w:r>
              <w:rPr>
                <w:rFonts w:hint="eastAsia" w:ascii="Times New Roman" w:hAnsi="Times New Roman" w:eastAsia="方正仿宋_GBK" w:cs="方正仿宋_GBK"/>
                <w:color w:val="000000"/>
                <w:sz w:val="20"/>
                <w:szCs w:val="20"/>
              </w:rPr>
              <w:t xml:space="preserve">： </w:t>
            </w:r>
            <w:r>
              <w:rPr>
                <w:rFonts w:hint="eastAsia" w:ascii="Times New Roman" w:hAnsi="Times New Roman" w:eastAsia="方正仿宋_GBK" w:cs="方正仿宋_GBK"/>
                <w:color w:val="000000"/>
                <w:sz w:val="20"/>
                <w:u w:color="auto"/>
              </w:rPr>
              <w:t>中国共产党巫溪县委员会政法委员会</w:t>
            </w:r>
          </w:p>
        </w:tc>
        <w:tc>
          <w:tcPr>
            <w:tcW w:w="3356" w:type="dxa"/>
            <w:gridSpan w:val="3"/>
            <w:tcBorders>
              <w:top w:val="nil"/>
              <w:left w:val="nil"/>
              <w:bottom w:val="nil"/>
              <w:right w:val="nil"/>
            </w:tcBorders>
            <w:shd w:val="clear" w:color="auto" w:fill="auto"/>
            <w:noWrap/>
            <w:tcMar>
              <w:top w:w="15" w:type="dxa"/>
              <w:left w:w="15" w:type="dxa"/>
              <w:right w:w="15" w:type="dxa"/>
            </w:tcMar>
            <w:vAlign w:val="bottom"/>
          </w:tcPr>
          <w:p w14:paraId="72C2E508">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3047" w:type="dxa"/>
            <w:tcBorders>
              <w:top w:val="nil"/>
              <w:left w:val="nil"/>
              <w:bottom w:val="nil"/>
              <w:right w:val="nil"/>
            </w:tcBorders>
            <w:shd w:val="clear" w:color="auto" w:fill="auto"/>
            <w:noWrap/>
            <w:tcMar>
              <w:top w:w="15" w:type="dxa"/>
              <w:left w:w="15" w:type="dxa"/>
              <w:right w:w="15" w:type="dxa"/>
            </w:tcMar>
            <w:vAlign w:val="bottom"/>
          </w:tcPr>
          <w:p w14:paraId="186F622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公开08表</w:t>
            </w:r>
          </w:p>
        </w:tc>
      </w:tr>
      <w:tr w14:paraId="0F831786">
        <w:tblPrEx>
          <w:tblCellMar>
            <w:top w:w="0" w:type="dxa"/>
            <w:left w:w="0" w:type="dxa"/>
            <w:bottom w:w="0" w:type="dxa"/>
            <w:right w:w="0" w:type="dxa"/>
          </w:tblCellMar>
        </w:tblPrEx>
        <w:trPr>
          <w:trHeight w:val="332" w:hRule="atLeast"/>
        </w:trPr>
        <w:tc>
          <w:tcPr>
            <w:tcW w:w="7349" w:type="dxa"/>
            <w:gridSpan w:val="3"/>
            <w:vMerge w:val="continue"/>
            <w:tcBorders>
              <w:left w:val="nil"/>
              <w:bottom w:val="nil"/>
              <w:right w:val="nil"/>
            </w:tcBorders>
            <w:shd w:val="clear" w:color="auto" w:fill="auto"/>
            <w:noWrap/>
            <w:tcMar>
              <w:top w:w="15" w:type="dxa"/>
              <w:left w:w="15" w:type="dxa"/>
              <w:right w:w="15" w:type="dxa"/>
            </w:tcMar>
            <w:vAlign w:val="bottom"/>
          </w:tcPr>
          <w:p w14:paraId="3B6B887B">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3356" w:type="dxa"/>
            <w:gridSpan w:val="3"/>
            <w:tcBorders>
              <w:top w:val="nil"/>
              <w:left w:val="nil"/>
              <w:bottom w:val="nil"/>
              <w:right w:val="nil"/>
            </w:tcBorders>
            <w:shd w:val="clear" w:color="auto" w:fill="auto"/>
            <w:noWrap/>
            <w:tcMar>
              <w:top w:w="15" w:type="dxa"/>
              <w:left w:w="15" w:type="dxa"/>
              <w:right w:w="15" w:type="dxa"/>
            </w:tcMar>
            <w:vAlign w:val="bottom"/>
          </w:tcPr>
          <w:p w14:paraId="46B31B9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sz w:val="20"/>
                <w:szCs w:val="20"/>
              </w:rPr>
            </w:pPr>
          </w:p>
        </w:tc>
        <w:tc>
          <w:tcPr>
            <w:tcW w:w="3047" w:type="dxa"/>
            <w:tcBorders>
              <w:top w:val="nil"/>
              <w:left w:val="nil"/>
              <w:bottom w:val="nil"/>
              <w:right w:val="nil"/>
            </w:tcBorders>
            <w:shd w:val="clear" w:color="auto" w:fill="auto"/>
            <w:noWrap/>
            <w:tcMar>
              <w:top w:w="15" w:type="dxa"/>
              <w:left w:w="15" w:type="dxa"/>
              <w:right w:w="15" w:type="dxa"/>
            </w:tcMar>
            <w:vAlign w:val="bottom"/>
          </w:tcPr>
          <w:p w14:paraId="77894263">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14:paraId="141CBEA6">
        <w:tblPrEx>
          <w:tblCellMar>
            <w:top w:w="0" w:type="dxa"/>
            <w:left w:w="0" w:type="dxa"/>
            <w:bottom w:w="0" w:type="dxa"/>
            <w:right w:w="0" w:type="dxa"/>
          </w:tblCellMar>
        </w:tblPrEx>
        <w:trPr>
          <w:trHeight w:val="422" w:hRule="atLeast"/>
        </w:trPr>
        <w:tc>
          <w:tcPr>
            <w:tcW w:w="442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60AD193">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w:t>
            </w:r>
          </w:p>
        </w:tc>
        <w:tc>
          <w:tcPr>
            <w:tcW w:w="9332"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8271F8A">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本年支出</w:t>
            </w:r>
          </w:p>
        </w:tc>
      </w:tr>
      <w:tr w14:paraId="43F5A73B">
        <w:tblPrEx>
          <w:tblCellMar>
            <w:top w:w="0" w:type="dxa"/>
            <w:left w:w="0" w:type="dxa"/>
            <w:bottom w:w="0" w:type="dxa"/>
            <w:right w:w="0" w:type="dxa"/>
          </w:tblCellMar>
        </w:tblPrEx>
        <w:trPr>
          <w:trHeight w:val="339" w:hRule="atLeast"/>
        </w:trPr>
        <w:tc>
          <w:tcPr>
            <w:tcW w:w="168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4692A">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功能分类科目编码</w:t>
            </w:r>
          </w:p>
        </w:tc>
        <w:tc>
          <w:tcPr>
            <w:tcW w:w="273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7C331A">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科目名称</w:t>
            </w:r>
          </w:p>
        </w:tc>
        <w:tc>
          <w:tcPr>
            <w:tcW w:w="3108"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6244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310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7FB3F0">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基本支出</w:t>
            </w:r>
          </w:p>
        </w:tc>
        <w:tc>
          <w:tcPr>
            <w:tcW w:w="3116"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3C05B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项目支出</w:t>
            </w:r>
          </w:p>
        </w:tc>
      </w:tr>
      <w:tr w14:paraId="149793DA">
        <w:tblPrEx>
          <w:tblCellMar>
            <w:top w:w="0" w:type="dxa"/>
            <w:left w:w="0" w:type="dxa"/>
            <w:bottom w:w="0" w:type="dxa"/>
            <w:right w:w="0" w:type="dxa"/>
          </w:tblCellMar>
        </w:tblPrEx>
        <w:trPr>
          <w:trHeight w:val="339" w:hRule="atLeast"/>
        </w:trPr>
        <w:tc>
          <w:tcPr>
            <w:tcW w:w="168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EDE86">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F7A69B">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08"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87AC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4D1E2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16"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7EE00E">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10334386">
        <w:tblPrEx>
          <w:tblCellMar>
            <w:top w:w="0" w:type="dxa"/>
            <w:left w:w="0" w:type="dxa"/>
            <w:bottom w:w="0" w:type="dxa"/>
            <w:right w:w="0" w:type="dxa"/>
          </w:tblCellMar>
        </w:tblPrEx>
        <w:trPr>
          <w:trHeight w:val="339" w:hRule="atLeast"/>
        </w:trPr>
        <w:tc>
          <w:tcPr>
            <w:tcW w:w="168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E87AD">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22BD19">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08"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E8B8D4">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D1EB6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16"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421B93">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05489CF6">
        <w:tblPrEx>
          <w:tblCellMar>
            <w:top w:w="0" w:type="dxa"/>
            <w:left w:w="0" w:type="dxa"/>
            <w:bottom w:w="0" w:type="dxa"/>
            <w:right w:w="0" w:type="dxa"/>
          </w:tblCellMar>
        </w:tblPrEx>
        <w:trPr>
          <w:trHeight w:val="326" w:hRule="atLeast"/>
        </w:trPr>
        <w:tc>
          <w:tcPr>
            <w:tcW w:w="168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6F2DC">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2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93C37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08"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8FB37">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BBE5F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c>
          <w:tcPr>
            <w:tcW w:w="3116"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B9512F">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b/>
                <w:color w:val="000000"/>
                <w:sz w:val="20"/>
                <w:szCs w:val="20"/>
              </w:rPr>
            </w:pPr>
          </w:p>
        </w:tc>
      </w:tr>
      <w:tr w14:paraId="617547DA">
        <w:tblPrEx>
          <w:tblCellMar>
            <w:top w:w="0" w:type="dxa"/>
            <w:left w:w="0" w:type="dxa"/>
            <w:bottom w:w="0" w:type="dxa"/>
            <w:right w:w="0" w:type="dxa"/>
          </w:tblCellMar>
        </w:tblPrEx>
        <w:trPr>
          <w:trHeight w:val="611" w:hRule="atLeast"/>
        </w:trPr>
        <w:tc>
          <w:tcPr>
            <w:tcW w:w="442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CF32DE">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szCs w:val="20"/>
              </w:rPr>
              <w:t>合计</w:t>
            </w:r>
          </w:p>
        </w:tc>
        <w:tc>
          <w:tcPr>
            <w:tcW w:w="31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16A6F">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A764">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b/>
                <w:color w:val="000000"/>
                <w:sz w:val="20"/>
                <w:szCs w:val="20"/>
              </w:rPr>
            </w:pPr>
          </w:p>
        </w:tc>
        <w:tc>
          <w:tcPr>
            <w:tcW w:w="31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4373D">
            <w:pPr>
              <w:keepNext w:val="0"/>
              <w:keepLines w:val="0"/>
              <w:pageBreakBefore w:val="0"/>
              <w:kinsoku/>
              <w:wordWrap w:val="0"/>
              <w:overflowPunct/>
              <w:topLinePunct w:val="0"/>
              <w:autoSpaceDN/>
              <w:bidi w:val="0"/>
              <w:spacing w:beforeAutospacing="0" w:line="600" w:lineRule="exact"/>
              <w:jc w:val="right"/>
              <w:textAlignment w:val="center"/>
              <w:rPr>
                <w:rFonts w:hint="eastAsia" w:ascii="Times New Roman" w:hAnsi="Times New Roman" w:eastAsia="方正仿宋_GBK" w:cs="方正仿宋_GBK"/>
                <w:b/>
                <w:color w:val="000000"/>
                <w:sz w:val="20"/>
                <w:szCs w:val="20"/>
              </w:rPr>
            </w:pPr>
            <w:r>
              <w:rPr>
                <w:rFonts w:hint="eastAsia" w:ascii="Times New Roman" w:hAnsi="Times New Roman" w:eastAsia="方正仿宋_GBK" w:cs="方正仿宋_GBK"/>
                <w:b/>
                <w:color w:val="000000"/>
                <w:sz w:val="20"/>
                <w:u w:color="auto"/>
              </w:rPr>
              <w:t xml:space="preserve"> </w:t>
            </w:r>
          </w:p>
        </w:tc>
      </w:tr>
    </w:tbl>
    <w:p w14:paraId="53758B29">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0"/>
          <w:szCs w:val="20"/>
        </w:rPr>
        <w:t>备注：本表反映部门本年度国有资本经营预算财政拨款支出情况。本部门无国有资本经营收支，故本表无数据。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14:paraId="7B0BE24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br w:type="page"/>
      </w:r>
    </w:p>
    <w:tbl>
      <w:tblPr>
        <w:tblStyle w:val="7"/>
        <w:tblW w:w="13725" w:type="dxa"/>
        <w:tblInd w:w="0" w:type="dxa"/>
        <w:tblLayout w:type="fixed"/>
        <w:tblCellMar>
          <w:top w:w="0" w:type="dxa"/>
          <w:left w:w="170" w:type="dxa"/>
          <w:bottom w:w="0" w:type="dxa"/>
          <w:right w:w="170" w:type="dxa"/>
        </w:tblCellMar>
      </w:tblPr>
      <w:tblGrid>
        <w:gridCol w:w="3593"/>
        <w:gridCol w:w="1927"/>
        <w:gridCol w:w="1879"/>
        <w:gridCol w:w="4022"/>
        <w:gridCol w:w="2304"/>
      </w:tblGrid>
      <w:tr w14:paraId="06FE0CB0">
        <w:tblPrEx>
          <w:tblCellMar>
            <w:top w:w="0" w:type="dxa"/>
            <w:left w:w="170" w:type="dxa"/>
            <w:bottom w:w="0" w:type="dxa"/>
            <w:right w:w="170" w:type="dxa"/>
          </w:tblCellMar>
        </w:tblPrEx>
        <w:trPr>
          <w:trHeight w:val="343" w:hRule="atLeast"/>
        </w:trPr>
        <w:tc>
          <w:tcPr>
            <w:tcW w:w="13725" w:type="dxa"/>
            <w:gridSpan w:val="5"/>
            <w:shd w:val="clear" w:color="auto" w:fill="auto"/>
            <w:noWrap/>
            <w:tcMar>
              <w:top w:w="15" w:type="dxa"/>
              <w:left w:w="15" w:type="dxa"/>
              <w:right w:w="15" w:type="dxa"/>
            </w:tcMar>
            <w:vAlign w:val="bottom"/>
          </w:tcPr>
          <w:p w14:paraId="41E2DB74">
            <w:pPr>
              <w:keepNext w:val="0"/>
              <w:keepLines w:val="0"/>
              <w:pageBreakBefore w:val="0"/>
              <w:kinsoku/>
              <w:overflowPunct/>
              <w:topLinePunct w:val="0"/>
              <w:autoSpaceDN/>
              <w:bidi w:val="0"/>
              <w:spacing w:beforeAutospacing="0" w:line="600" w:lineRule="exact"/>
              <w:jc w:val="center"/>
              <w:textAlignment w:val="bottom"/>
              <w:rPr>
                <w:rFonts w:hint="eastAsia" w:ascii="Times New Roman" w:hAnsi="Times New Roman" w:eastAsia="方正仿宋_GBK" w:cs="方正仿宋_GBK"/>
                <w:b/>
                <w:color w:val="000000"/>
                <w:kern w:val="2"/>
                <w:sz w:val="32"/>
                <w:szCs w:val="32"/>
              </w:rPr>
            </w:pPr>
            <w:r>
              <w:rPr>
                <w:rFonts w:hint="eastAsia" w:ascii="Times New Roman" w:hAnsi="Times New Roman" w:eastAsia="方正仿宋_GBK" w:cs="方正仿宋_GBK"/>
                <w:b/>
                <w:color w:val="000000"/>
                <w:kern w:val="2"/>
                <w:sz w:val="32"/>
                <w:szCs w:val="32"/>
              </w:rPr>
              <w:t>机构运行信息表</w:t>
            </w:r>
          </w:p>
        </w:tc>
      </w:tr>
      <w:tr w14:paraId="7C61C063">
        <w:tblPrEx>
          <w:tblCellMar>
            <w:top w:w="0" w:type="dxa"/>
            <w:left w:w="170" w:type="dxa"/>
            <w:bottom w:w="0" w:type="dxa"/>
            <w:right w:w="170" w:type="dxa"/>
          </w:tblCellMar>
        </w:tblPrEx>
        <w:trPr>
          <w:trHeight w:val="244" w:hRule="atLeast"/>
        </w:trPr>
        <w:tc>
          <w:tcPr>
            <w:tcW w:w="3593" w:type="dxa"/>
            <w:shd w:val="clear" w:color="auto" w:fill="auto"/>
            <w:noWrap/>
            <w:tcMar>
              <w:top w:w="15" w:type="dxa"/>
              <w:left w:w="15" w:type="dxa"/>
              <w:right w:w="15" w:type="dxa"/>
            </w:tcMar>
            <w:vAlign w:val="bottom"/>
          </w:tcPr>
          <w:p w14:paraId="1813B8B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kern w:val="2"/>
                <w:sz w:val="20"/>
                <w:szCs w:val="20"/>
              </w:rPr>
            </w:pPr>
          </w:p>
        </w:tc>
        <w:tc>
          <w:tcPr>
            <w:tcW w:w="1927" w:type="dxa"/>
            <w:shd w:val="clear" w:color="auto" w:fill="auto"/>
            <w:noWrap/>
            <w:tcMar>
              <w:top w:w="15" w:type="dxa"/>
              <w:left w:w="15" w:type="dxa"/>
              <w:right w:w="15" w:type="dxa"/>
            </w:tcMar>
            <w:vAlign w:val="bottom"/>
          </w:tcPr>
          <w:p w14:paraId="45FA63B8">
            <w:pPr>
              <w:keepNext w:val="0"/>
              <w:keepLines w:val="0"/>
              <w:pageBreakBefore w:val="0"/>
              <w:kinsoku/>
              <w:overflowPunct/>
              <w:topLinePunct w:val="0"/>
              <w:autoSpaceDN/>
              <w:bidi w:val="0"/>
              <w:spacing w:beforeAutospacing="0" w:line="600" w:lineRule="exact"/>
              <w:jc w:val="center"/>
              <w:rPr>
                <w:rFonts w:hint="eastAsia" w:ascii="Times New Roman" w:hAnsi="Times New Roman" w:eastAsia="方正仿宋_GBK" w:cs="方正仿宋_GBK"/>
                <w:color w:val="000000"/>
                <w:kern w:val="2"/>
                <w:sz w:val="20"/>
                <w:szCs w:val="20"/>
              </w:rPr>
            </w:pPr>
          </w:p>
        </w:tc>
        <w:tc>
          <w:tcPr>
            <w:tcW w:w="1879" w:type="dxa"/>
            <w:shd w:val="clear" w:color="auto" w:fill="auto"/>
            <w:noWrap/>
            <w:tcMar>
              <w:top w:w="15" w:type="dxa"/>
              <w:left w:w="15" w:type="dxa"/>
              <w:right w:w="15" w:type="dxa"/>
            </w:tcMar>
            <w:vAlign w:val="bottom"/>
          </w:tcPr>
          <w:p w14:paraId="395425B2">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kern w:val="2"/>
                <w:sz w:val="20"/>
                <w:szCs w:val="20"/>
              </w:rPr>
            </w:pPr>
          </w:p>
        </w:tc>
        <w:tc>
          <w:tcPr>
            <w:tcW w:w="4022" w:type="dxa"/>
            <w:shd w:val="clear" w:color="auto" w:fill="auto"/>
            <w:noWrap/>
            <w:tcMar>
              <w:top w:w="15" w:type="dxa"/>
              <w:left w:w="15" w:type="dxa"/>
              <w:right w:w="15" w:type="dxa"/>
            </w:tcMar>
            <w:vAlign w:val="bottom"/>
          </w:tcPr>
          <w:p w14:paraId="7105E8B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kern w:val="2"/>
                <w:sz w:val="20"/>
                <w:szCs w:val="20"/>
              </w:rPr>
            </w:pPr>
          </w:p>
        </w:tc>
        <w:tc>
          <w:tcPr>
            <w:tcW w:w="2304" w:type="dxa"/>
            <w:shd w:val="clear" w:color="auto" w:fill="auto"/>
            <w:noWrap/>
            <w:tcMar>
              <w:top w:w="15" w:type="dxa"/>
              <w:left w:w="15" w:type="dxa"/>
              <w:right w:w="15" w:type="dxa"/>
            </w:tcMar>
            <w:vAlign w:val="bottom"/>
          </w:tcPr>
          <w:p w14:paraId="14B10264">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公开09表</w:t>
            </w:r>
          </w:p>
        </w:tc>
      </w:tr>
      <w:tr w14:paraId="2FDCA5A4">
        <w:tblPrEx>
          <w:tblCellMar>
            <w:top w:w="0" w:type="dxa"/>
            <w:left w:w="170" w:type="dxa"/>
            <w:bottom w:w="0" w:type="dxa"/>
            <w:right w:w="170" w:type="dxa"/>
          </w:tblCellMar>
        </w:tblPrEx>
        <w:trPr>
          <w:trHeight w:val="244" w:hRule="atLeast"/>
        </w:trPr>
        <w:tc>
          <w:tcPr>
            <w:tcW w:w="552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D4C2B9E">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kern w:val="2"/>
                <w:sz w:val="20"/>
                <w:szCs w:val="20"/>
              </w:rPr>
              <w:t>公开部门</w:t>
            </w:r>
            <w:r>
              <w:rPr>
                <w:rFonts w:hint="eastAsia" w:ascii="Times New Roman" w:hAnsi="Times New Roman" w:eastAsia="方正仿宋_GBK" w:cs="方正仿宋_GBK"/>
                <w:color w:val="000000"/>
                <w:kern w:val="2"/>
                <w:sz w:val="20"/>
                <w:szCs w:val="20"/>
              </w:rPr>
              <w:t xml:space="preserve">： </w:t>
            </w:r>
            <w:r>
              <w:rPr>
                <w:rFonts w:hint="eastAsia" w:ascii="Times New Roman" w:hAnsi="Times New Roman" w:eastAsia="方正仿宋_GBK" w:cs="方正仿宋_GBK"/>
                <w:color w:val="000000"/>
                <w:sz w:val="20"/>
                <w:u w:color="auto"/>
              </w:rPr>
              <w:t>中国共产党巫溪县委员会政法委员会</w:t>
            </w:r>
          </w:p>
        </w:tc>
        <w:tc>
          <w:tcPr>
            <w:tcW w:w="1879" w:type="dxa"/>
            <w:tcBorders>
              <w:top w:val="nil"/>
              <w:left w:val="nil"/>
              <w:bottom w:val="single" w:color="auto" w:sz="4" w:space="0"/>
              <w:right w:val="nil"/>
            </w:tcBorders>
            <w:shd w:val="clear" w:color="auto" w:fill="auto"/>
            <w:noWrap/>
            <w:tcMar>
              <w:top w:w="15" w:type="dxa"/>
              <w:left w:w="15" w:type="dxa"/>
              <w:right w:w="15" w:type="dxa"/>
            </w:tcMar>
            <w:vAlign w:val="bottom"/>
          </w:tcPr>
          <w:p w14:paraId="5C454992">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kern w:val="2"/>
                <w:sz w:val="20"/>
                <w:szCs w:val="20"/>
              </w:rPr>
            </w:pPr>
          </w:p>
        </w:tc>
        <w:tc>
          <w:tcPr>
            <w:tcW w:w="4022" w:type="dxa"/>
            <w:tcBorders>
              <w:top w:val="nil"/>
              <w:left w:val="nil"/>
              <w:bottom w:val="single" w:color="auto" w:sz="4" w:space="0"/>
              <w:right w:val="nil"/>
            </w:tcBorders>
            <w:shd w:val="clear" w:color="auto" w:fill="auto"/>
            <w:noWrap/>
            <w:tcMar>
              <w:top w:w="15" w:type="dxa"/>
              <w:left w:w="15" w:type="dxa"/>
              <w:right w:w="15" w:type="dxa"/>
            </w:tcMar>
            <w:vAlign w:val="bottom"/>
          </w:tcPr>
          <w:p w14:paraId="4990F723">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kern w:val="2"/>
                <w:sz w:val="20"/>
                <w:szCs w:val="20"/>
              </w:rPr>
            </w:pPr>
          </w:p>
        </w:tc>
        <w:tc>
          <w:tcPr>
            <w:tcW w:w="2304" w:type="dxa"/>
            <w:tcBorders>
              <w:top w:val="nil"/>
              <w:left w:val="nil"/>
              <w:bottom w:val="single" w:color="auto" w:sz="4" w:space="0"/>
              <w:right w:val="nil"/>
            </w:tcBorders>
            <w:shd w:val="clear" w:color="auto" w:fill="auto"/>
            <w:noWrap/>
            <w:tcMar>
              <w:top w:w="15" w:type="dxa"/>
              <w:left w:w="15" w:type="dxa"/>
              <w:right w:w="15" w:type="dxa"/>
            </w:tcMar>
            <w:vAlign w:val="bottom"/>
          </w:tcPr>
          <w:p w14:paraId="09E68043">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单位：</w:t>
            </w:r>
            <w:r>
              <w:rPr>
                <w:rFonts w:hint="eastAsia" w:ascii="Times New Roman" w:hAnsi="Times New Roman" w:eastAsia="方正仿宋_GBK" w:cs="方正仿宋_GBK"/>
                <w:kern w:val="2"/>
                <w:sz w:val="20"/>
                <w:szCs w:val="20"/>
              </w:rPr>
              <w:t>万元</w:t>
            </w:r>
          </w:p>
        </w:tc>
      </w:tr>
      <w:tr w14:paraId="2472DFEA">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9B7620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kern w:val="2"/>
                <w:sz w:val="20"/>
                <w:szCs w:val="20"/>
              </w:rPr>
            </w:pPr>
            <w:r>
              <w:rPr>
                <w:rFonts w:hint="eastAsia" w:ascii="Times New Roman" w:hAnsi="Times New Roman" w:eastAsia="方正仿宋_GBK" w:cs="方正仿宋_GBK"/>
                <w:b/>
                <w:color w:val="000000"/>
                <w:kern w:val="2"/>
                <w:sz w:val="20"/>
                <w:szCs w:val="20"/>
              </w:rPr>
              <w:t>项  目</w:t>
            </w:r>
          </w:p>
        </w:tc>
        <w:tc>
          <w:tcPr>
            <w:tcW w:w="1927"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C0AD93D">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kern w:val="2"/>
                <w:sz w:val="20"/>
                <w:szCs w:val="20"/>
              </w:rPr>
            </w:pPr>
            <w:r>
              <w:rPr>
                <w:rFonts w:hint="eastAsia" w:ascii="Times New Roman" w:hAnsi="Times New Roman" w:eastAsia="方正仿宋_GBK" w:cs="方正仿宋_GBK"/>
                <w:b/>
                <w:color w:val="000000"/>
                <w:kern w:val="2"/>
                <w:sz w:val="20"/>
                <w:szCs w:val="20"/>
              </w:rPr>
              <w:t>预算数</w:t>
            </w:r>
          </w:p>
        </w:tc>
        <w:tc>
          <w:tcPr>
            <w:tcW w:w="1879"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744FBA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kern w:val="2"/>
                <w:sz w:val="20"/>
                <w:szCs w:val="20"/>
              </w:rPr>
            </w:pPr>
            <w:r>
              <w:rPr>
                <w:rFonts w:hint="eastAsia" w:ascii="Times New Roman" w:hAnsi="Times New Roman" w:eastAsia="方正仿宋_GBK" w:cs="方正仿宋_GBK"/>
                <w:b/>
                <w:color w:val="000000"/>
                <w:kern w:val="2"/>
                <w:sz w:val="20"/>
                <w:szCs w:val="20"/>
              </w:rPr>
              <w:t>决算数</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209A2F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kern w:val="2"/>
                <w:sz w:val="20"/>
                <w:szCs w:val="20"/>
              </w:rPr>
            </w:pPr>
            <w:r>
              <w:rPr>
                <w:rFonts w:hint="eastAsia" w:ascii="Times New Roman" w:hAnsi="Times New Roman" w:eastAsia="方正仿宋_GBK" w:cs="方正仿宋_GBK"/>
                <w:b/>
                <w:color w:val="000000"/>
                <w:kern w:val="2"/>
                <w:sz w:val="20"/>
                <w:szCs w:val="20"/>
              </w:rPr>
              <w:t>项  目</w:t>
            </w:r>
          </w:p>
        </w:tc>
        <w:tc>
          <w:tcPr>
            <w:tcW w:w="23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A276CF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b/>
                <w:color w:val="000000"/>
                <w:kern w:val="2"/>
                <w:sz w:val="20"/>
                <w:szCs w:val="20"/>
              </w:rPr>
            </w:pPr>
            <w:r>
              <w:rPr>
                <w:rFonts w:hint="eastAsia" w:ascii="Times New Roman" w:hAnsi="Times New Roman" w:eastAsia="方正仿宋_GBK" w:cs="方正仿宋_GBK"/>
                <w:b/>
                <w:color w:val="000000"/>
                <w:kern w:val="2"/>
                <w:sz w:val="20"/>
                <w:szCs w:val="20"/>
              </w:rPr>
              <w:t>决算数</w:t>
            </w:r>
          </w:p>
        </w:tc>
      </w:tr>
      <w:tr w14:paraId="476C8E22">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F0C3E8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一、“三公”经费支出</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32190">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838FC">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9EE67A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四、机关运行经费</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307AD">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53.86</w:t>
            </w:r>
            <w:r>
              <w:rPr>
                <w:rFonts w:hint="eastAsia" w:ascii="Times New Roman" w:hAnsi="Times New Roman" w:eastAsia="方正仿宋_GBK" w:cs="方正仿宋_GBK"/>
                <w:color w:val="000000"/>
                <w:sz w:val="20"/>
                <w:szCs w:val="20"/>
                <w:u w:color="auto"/>
              </w:rPr>
              <w:t xml:space="preserve"> </w:t>
            </w:r>
          </w:p>
        </w:tc>
      </w:tr>
      <w:tr w14:paraId="1E5A1A48">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799AFE1">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（一）支出合计</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BFF51">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1.27</w:t>
            </w:r>
            <w:r>
              <w:rPr>
                <w:rFonts w:hint="eastAsia" w:ascii="Times New Roman" w:hAnsi="Times New Roman" w:eastAsia="方正仿宋_GBK" w:cs="方正仿宋_GBK"/>
                <w:color w:val="000000"/>
                <w:sz w:val="20"/>
                <w:szCs w:val="20"/>
                <w:u w:color="auto"/>
              </w:rPr>
              <w:t xml:space="preserve"> </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A3A0A">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1.27</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2F7318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（一）行政单位</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85395">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53.86</w:t>
            </w:r>
            <w:r>
              <w:rPr>
                <w:rFonts w:hint="eastAsia" w:ascii="Times New Roman" w:hAnsi="Times New Roman" w:eastAsia="方正仿宋_GBK" w:cs="方正仿宋_GBK"/>
                <w:color w:val="000000"/>
                <w:sz w:val="20"/>
                <w:szCs w:val="20"/>
                <w:u w:color="auto"/>
              </w:rPr>
              <w:t xml:space="preserve"> </w:t>
            </w:r>
          </w:p>
        </w:tc>
      </w:tr>
      <w:tr w14:paraId="76175A9D">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3DBC88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1．因公出国（境）费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E0E9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052B3">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D884A6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（二）参照公务员法管理事业单位</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E44E0">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6C648358">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E945E1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2．公务用车购置及运行维护费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98DBC">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78EE7">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84B53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五、资产信息</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D16A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r>
      <w:tr w14:paraId="43F333D5">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E97086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（1）公务用车购置费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1CA2D">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A1DEE">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1E8361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（一）车辆数合计（辆）</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26112">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4879EAE6">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A85F01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（2）公务用车运行维护费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7C96B">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28DD8">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C4537A4">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1．副部（省）级及以上领导用车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60DEF">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41796B2A">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9D67E9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3．公务接待费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81E0D">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1.27</w:t>
            </w:r>
            <w:r>
              <w:rPr>
                <w:rFonts w:hint="eastAsia" w:ascii="Times New Roman" w:hAnsi="Times New Roman" w:eastAsia="方正仿宋_GBK" w:cs="方正仿宋_GBK"/>
                <w:color w:val="000000"/>
                <w:sz w:val="20"/>
                <w:szCs w:val="20"/>
                <w:u w:color="auto"/>
              </w:rPr>
              <w:t xml:space="preserve"> </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07114">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1.27</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B5D535F">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2．主要领导干部用车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B7A8E">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3BBB00EB">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BDBE87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（1）国内接待费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CCFF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BC51F">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1.27</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8967E1B">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3．机要通信用车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6C810">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662C980D">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DD654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其中：外事接待费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213F4">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0C950">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6F4C92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4．应急保障用车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F678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6A214DFD">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D8BB63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（2）国（境）外接待费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E2E68">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92F22">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CB14A0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5．执法执勤用车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C0188">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17D79A86">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1B100E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（二）相关统计数</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A18DD">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9F420">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0F4AD8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6．特种专业技术用车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4CFDA">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4141F479">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24075B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1．因公出国（境）团组数（个）</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0866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3E367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7BF715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7．离退休干部用车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BCDE3">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15604434">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B1FB7DD">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2．因公出国（境）人次数（人）</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20902">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86BE88A">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3E5B24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8．其他用车</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DF62C">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0A20C10A">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5C6CE6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3．公务用车购置数（辆）</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41A1B">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7D3BDEF">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02A1BE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（二）单价100万元（含）以上设备（不含车辆）</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7E168">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1AEADE2C">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60E934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4．公务用车保有量（辆）</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1340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13BEBA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782E4BA">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六、政府采购支出信息</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2540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r>
      <w:tr w14:paraId="5402BD4C">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DDAC25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5．国内公务接待批次（个）</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CD41E">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AC5629F">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45</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43C3F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（一）政府采购支出合计</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ACBF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13.13</w:t>
            </w:r>
            <w:r>
              <w:rPr>
                <w:rFonts w:hint="eastAsia" w:ascii="Times New Roman" w:hAnsi="Times New Roman" w:eastAsia="方正仿宋_GBK" w:cs="方正仿宋_GBK"/>
                <w:color w:val="000000"/>
                <w:sz w:val="20"/>
                <w:szCs w:val="20"/>
                <w:u w:color="auto"/>
              </w:rPr>
              <w:t xml:space="preserve"> </w:t>
            </w:r>
          </w:p>
        </w:tc>
      </w:tr>
      <w:tr w14:paraId="4DADA3A1">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692F820">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其中：外事接待批次（个）</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2783F">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0C20D8A">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1429B9E">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1．政府采购货物支出</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4194F">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13.13</w:t>
            </w:r>
            <w:r>
              <w:rPr>
                <w:rFonts w:hint="eastAsia" w:ascii="Times New Roman" w:hAnsi="Times New Roman" w:eastAsia="方正仿宋_GBK" w:cs="方正仿宋_GBK"/>
                <w:color w:val="000000"/>
                <w:sz w:val="20"/>
                <w:szCs w:val="20"/>
                <w:u w:color="auto"/>
              </w:rPr>
              <w:t xml:space="preserve"> </w:t>
            </w:r>
          </w:p>
        </w:tc>
      </w:tr>
      <w:tr w14:paraId="084FD6BB">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AE8F657">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6．国内公务接待人次（人）</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C0C1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14BD554">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290</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31BB9C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2．政府采购工程支出</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A9E92">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740132C7">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791DDF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其中：外事接待人次（人）</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45251">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AB659D1">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1C66DF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3．政府采购服务支出</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CBCA4">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r>
      <w:tr w14:paraId="06EB6424">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2FD3C08">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7．国（境）外公务接待批次（个）</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AC62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8F23BFC">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7AED592">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（二）政府采购授予中小企业合同金额</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FE8D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13.13</w:t>
            </w:r>
            <w:r>
              <w:rPr>
                <w:rFonts w:hint="eastAsia" w:ascii="Times New Roman" w:hAnsi="Times New Roman" w:eastAsia="方正仿宋_GBK" w:cs="方正仿宋_GBK"/>
                <w:color w:val="000000"/>
                <w:sz w:val="20"/>
                <w:szCs w:val="20"/>
                <w:u w:color="auto"/>
              </w:rPr>
              <w:t xml:space="preserve"> </w:t>
            </w:r>
          </w:p>
        </w:tc>
      </w:tr>
      <w:tr w14:paraId="3ECAF330">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36AA779">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8．国（境）外公务接待人次（人）</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581D7">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00AE13C">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D52CCF6">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 xml:space="preserve">        其中：授予小微企业合同金额</w:t>
            </w: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0C8B9">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13.13</w:t>
            </w:r>
            <w:r>
              <w:rPr>
                <w:rFonts w:hint="eastAsia" w:ascii="Times New Roman" w:hAnsi="Times New Roman" w:eastAsia="方正仿宋_GBK" w:cs="方正仿宋_GBK"/>
                <w:color w:val="000000"/>
                <w:sz w:val="20"/>
                <w:szCs w:val="20"/>
                <w:u w:color="auto"/>
              </w:rPr>
              <w:t xml:space="preserve"> </w:t>
            </w:r>
          </w:p>
        </w:tc>
      </w:tr>
      <w:tr w14:paraId="19FAF92C">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0F608E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二、会议费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F2120">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9A026">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18.07</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6B114FA">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kern w:val="2"/>
                <w:sz w:val="20"/>
                <w:szCs w:val="20"/>
              </w:rPr>
            </w:pP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9D3A9">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kern w:val="2"/>
                <w:sz w:val="20"/>
                <w:szCs w:val="20"/>
              </w:rPr>
            </w:pPr>
          </w:p>
        </w:tc>
      </w:tr>
      <w:tr w14:paraId="59F73DA1">
        <w:tblPrEx>
          <w:tblCellMar>
            <w:top w:w="0" w:type="dxa"/>
            <w:left w:w="170" w:type="dxa"/>
            <w:bottom w:w="0" w:type="dxa"/>
            <w:right w:w="170" w:type="dxa"/>
          </w:tblCellMar>
        </w:tblPrEx>
        <w:trPr>
          <w:trHeight w:val="510" w:hRule="exact"/>
        </w:trPr>
        <w:tc>
          <w:tcPr>
            <w:tcW w:w="35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69D04F3">
            <w:pPr>
              <w:keepNext w:val="0"/>
              <w:keepLines w:val="0"/>
              <w:pageBreakBefore w:val="0"/>
              <w:kinsoku/>
              <w:overflowPunct/>
              <w:topLinePunct w:val="0"/>
              <w:autoSpaceDN/>
              <w:bidi w:val="0"/>
              <w:spacing w:beforeAutospacing="0" w:line="600" w:lineRule="exact"/>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三、培训费</w:t>
            </w:r>
          </w:p>
        </w:tc>
        <w:tc>
          <w:tcPr>
            <w:tcW w:w="19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F5E79">
            <w:pPr>
              <w:keepNext w:val="0"/>
              <w:keepLines w:val="0"/>
              <w:pageBreakBefore w:val="0"/>
              <w:kinsoku/>
              <w:overflowPunct/>
              <w:topLinePunct w:val="0"/>
              <w:autoSpaceDN/>
              <w:bidi w:val="0"/>
              <w:spacing w:beforeAutospacing="0" w:line="600" w:lineRule="exact"/>
              <w:jc w:val="center"/>
              <w:textAlignment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w:t>
            </w:r>
          </w:p>
        </w:tc>
        <w:tc>
          <w:tcPr>
            <w:tcW w:w="1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393FE">
            <w:pPr>
              <w:keepNext w:val="0"/>
              <w:keepLines w:val="0"/>
              <w:pageBreakBefore w:val="0"/>
              <w:kinsoku/>
              <w:overflowPunct/>
              <w:topLinePunct w:val="0"/>
              <w:autoSpaceDN/>
              <w:bidi w:val="0"/>
              <w:spacing w:beforeAutospacing="0" w:line="600" w:lineRule="exact"/>
              <w:jc w:val="right"/>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24.29</w:t>
            </w:r>
            <w:r>
              <w:rPr>
                <w:rFonts w:hint="eastAsia" w:ascii="Times New Roman" w:hAnsi="Times New Roman" w:eastAsia="方正仿宋_GBK" w:cs="方正仿宋_GBK"/>
                <w:color w:val="000000"/>
                <w:sz w:val="20"/>
                <w:szCs w:val="20"/>
                <w:u w:color="auto"/>
              </w:rPr>
              <w:t xml:space="preserve"> </w:t>
            </w:r>
          </w:p>
        </w:tc>
        <w:tc>
          <w:tcPr>
            <w:tcW w:w="402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1A4BF3D">
            <w:pPr>
              <w:keepNext w:val="0"/>
              <w:keepLines w:val="0"/>
              <w:pageBreakBefore w:val="0"/>
              <w:kinsoku/>
              <w:overflowPunct/>
              <w:topLinePunct w:val="0"/>
              <w:autoSpaceDN/>
              <w:bidi w:val="0"/>
              <w:spacing w:beforeAutospacing="0" w:line="600" w:lineRule="exact"/>
              <w:rPr>
                <w:rFonts w:hint="eastAsia" w:ascii="Times New Roman" w:hAnsi="Times New Roman" w:eastAsia="方正仿宋_GBK" w:cs="方正仿宋_GBK"/>
                <w:color w:val="000000"/>
                <w:kern w:val="2"/>
                <w:sz w:val="20"/>
                <w:szCs w:val="20"/>
              </w:rPr>
            </w:pPr>
          </w:p>
        </w:tc>
        <w:tc>
          <w:tcPr>
            <w:tcW w:w="23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09E46">
            <w:pPr>
              <w:keepNext w:val="0"/>
              <w:keepLines w:val="0"/>
              <w:pageBreakBefore w:val="0"/>
              <w:kinsoku/>
              <w:overflowPunct/>
              <w:topLinePunct w:val="0"/>
              <w:autoSpaceDN/>
              <w:bidi w:val="0"/>
              <w:spacing w:beforeAutospacing="0" w:line="600" w:lineRule="exact"/>
              <w:jc w:val="right"/>
              <w:rPr>
                <w:rFonts w:hint="eastAsia" w:ascii="Times New Roman" w:hAnsi="Times New Roman" w:eastAsia="方正仿宋_GBK" w:cs="方正仿宋_GBK"/>
                <w:color w:val="000000"/>
                <w:kern w:val="2"/>
                <w:sz w:val="20"/>
                <w:szCs w:val="20"/>
              </w:rPr>
            </w:pPr>
          </w:p>
        </w:tc>
      </w:tr>
    </w:tbl>
    <w:p w14:paraId="66D7B7E3">
      <w:pPr>
        <w:keepNext w:val="0"/>
        <w:keepLines w:val="0"/>
        <w:pageBreakBefore w:val="0"/>
        <w:widowControl/>
        <w:kinsoku/>
        <w:wordWrap/>
        <w:overflowPunct/>
        <w:topLinePunct w:val="0"/>
        <w:autoSpaceDE/>
        <w:autoSpaceDN/>
        <w:bidi w:val="0"/>
        <w:adjustRightInd/>
        <w:snapToGrid/>
        <w:spacing w:beforeAutospacing="0" w:line="300" w:lineRule="exact"/>
        <w:ind w:left="800" w:hanging="800" w:hangingChars="40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p>
    <w:p w14:paraId="3F8C6CD7">
      <w:pPr>
        <w:keepNext w:val="0"/>
        <w:keepLines w:val="0"/>
        <w:pageBreakBefore w:val="0"/>
        <w:widowControl/>
        <w:kinsoku/>
        <w:wordWrap/>
        <w:overflowPunct/>
        <w:topLinePunct w:val="0"/>
        <w:autoSpaceDE/>
        <w:autoSpaceDN/>
        <w:bidi w:val="0"/>
        <w:adjustRightInd/>
        <w:snapToGrid/>
        <w:spacing w:beforeAutospacing="0" w:line="300" w:lineRule="exact"/>
        <w:ind w:left="798" w:leftChars="249" w:hanging="200" w:hangingChars="100"/>
        <w:textAlignment w:val="auto"/>
        <w:rPr>
          <w:rFonts w:hint="eastAsia" w:ascii="Times New Roman" w:hAnsi="Times New Roman" w:eastAsia="方正仿宋_GBK" w:cs="方正仿宋_GBK"/>
        </w:rPr>
      </w:pPr>
      <w:r>
        <w:rPr>
          <w:rFonts w:hint="eastAsia" w:ascii="Times New Roman" w:hAnsi="Times New Roman" w:eastAsia="方正仿宋_GBK" w:cs="方正仿宋_GBK"/>
          <w:sz w:val="20"/>
          <w:szCs w:val="20"/>
        </w:rPr>
        <w:t>2.本套报表金额单位转换时可能存在尾数误差。</w:t>
      </w:r>
      <w:r>
        <w:rPr>
          <w:rFonts w:hint="eastAsia" w:ascii="Times New Roman" w:hAnsi="Times New Roman" w:eastAsia="方正仿宋_GBK" w:cs="方正仿宋_GBK"/>
          <w:sz w:val="20"/>
          <w:szCs w:val="20"/>
        </w:rPr>
        <w:br w:type="textWrapping"/>
      </w:r>
    </w:p>
    <w:sectPr>
      <w:pgSz w:w="16783" w:h="11850" w:orient="landscape"/>
      <w:pgMar w:top="2098" w:right="1474" w:bottom="1474" w:left="1587" w:header="0" w:footer="283" w:gutter="0"/>
      <w:pgNumType w:fmt="numberInDash"/>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104F">
    <w:pPr>
      <w:pStyle w:val="3"/>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1C5DD">
                          <w:pPr>
                            <w:pStyle w:val="3"/>
                            <w:rPr>
                              <w:rFonts w:hint="eastAsia" w:eastAsia="宋体"/>
                              <w:lang w:eastAsia="zh-CN"/>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E1C5DD">
                    <w:pPr>
                      <w:pStyle w:val="3"/>
                      <w:rPr>
                        <w:rFonts w:hint="eastAsia" w:eastAsia="宋体"/>
                        <w:lang w:eastAsia="zh-CN"/>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08B7C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08B7C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C81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5"/>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jg5YmU5MGE1N2Q3MDRjMzk5ZTNmMGQ3YzJjNzM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3718E6"/>
    <w:rsid w:val="044C50BA"/>
    <w:rsid w:val="05BC6D49"/>
    <w:rsid w:val="06194FF1"/>
    <w:rsid w:val="06A2550B"/>
    <w:rsid w:val="06F80EE2"/>
    <w:rsid w:val="07001CCA"/>
    <w:rsid w:val="075678DB"/>
    <w:rsid w:val="079D7CC7"/>
    <w:rsid w:val="07C040A0"/>
    <w:rsid w:val="08051BCA"/>
    <w:rsid w:val="086C12F4"/>
    <w:rsid w:val="08BA052C"/>
    <w:rsid w:val="08DB07BA"/>
    <w:rsid w:val="0969353F"/>
    <w:rsid w:val="097A321D"/>
    <w:rsid w:val="098305D0"/>
    <w:rsid w:val="098A0877"/>
    <w:rsid w:val="0A5C4B69"/>
    <w:rsid w:val="0A86124A"/>
    <w:rsid w:val="0AB54CC0"/>
    <w:rsid w:val="0B9335CE"/>
    <w:rsid w:val="0C7927C4"/>
    <w:rsid w:val="0C9B098C"/>
    <w:rsid w:val="0CF15C51"/>
    <w:rsid w:val="0D147B75"/>
    <w:rsid w:val="0D673E11"/>
    <w:rsid w:val="0DA16491"/>
    <w:rsid w:val="0DDA54E4"/>
    <w:rsid w:val="0E3A5F83"/>
    <w:rsid w:val="0E74421A"/>
    <w:rsid w:val="0F836721"/>
    <w:rsid w:val="0FA25D96"/>
    <w:rsid w:val="10361FBB"/>
    <w:rsid w:val="10685400"/>
    <w:rsid w:val="107B59E5"/>
    <w:rsid w:val="10EC0126"/>
    <w:rsid w:val="10F70B9A"/>
    <w:rsid w:val="111445C7"/>
    <w:rsid w:val="114278C6"/>
    <w:rsid w:val="1158083A"/>
    <w:rsid w:val="11643A4B"/>
    <w:rsid w:val="11C6511F"/>
    <w:rsid w:val="11ED0F98"/>
    <w:rsid w:val="11F03528"/>
    <w:rsid w:val="12C921C4"/>
    <w:rsid w:val="13871C70"/>
    <w:rsid w:val="13A71CB4"/>
    <w:rsid w:val="13AF1D43"/>
    <w:rsid w:val="13B046D2"/>
    <w:rsid w:val="13CE1647"/>
    <w:rsid w:val="13FD55AB"/>
    <w:rsid w:val="14200702"/>
    <w:rsid w:val="163A6CEE"/>
    <w:rsid w:val="172065BB"/>
    <w:rsid w:val="173708E3"/>
    <w:rsid w:val="17C374FC"/>
    <w:rsid w:val="189079DC"/>
    <w:rsid w:val="189B0D0B"/>
    <w:rsid w:val="18B43F7C"/>
    <w:rsid w:val="18DB5EB0"/>
    <w:rsid w:val="194A1770"/>
    <w:rsid w:val="19B906A4"/>
    <w:rsid w:val="1B6F15B6"/>
    <w:rsid w:val="1BAA2EDC"/>
    <w:rsid w:val="1C5C0973"/>
    <w:rsid w:val="1CA55E64"/>
    <w:rsid w:val="1D014A01"/>
    <w:rsid w:val="1D022362"/>
    <w:rsid w:val="1D1B04B0"/>
    <w:rsid w:val="1D730ED1"/>
    <w:rsid w:val="1DBD6767"/>
    <w:rsid w:val="1DC52125"/>
    <w:rsid w:val="1DD26311"/>
    <w:rsid w:val="1E374ACB"/>
    <w:rsid w:val="1E5E27E3"/>
    <w:rsid w:val="1EA0490B"/>
    <w:rsid w:val="1ECF0A66"/>
    <w:rsid w:val="1EDD0471"/>
    <w:rsid w:val="1EF67CA4"/>
    <w:rsid w:val="1F020D3A"/>
    <w:rsid w:val="1F2C5189"/>
    <w:rsid w:val="1F4B0B02"/>
    <w:rsid w:val="1FBB35CD"/>
    <w:rsid w:val="1FCD26AF"/>
    <w:rsid w:val="20642787"/>
    <w:rsid w:val="21556F04"/>
    <w:rsid w:val="21EE7532"/>
    <w:rsid w:val="22403BD3"/>
    <w:rsid w:val="233A7745"/>
    <w:rsid w:val="233F706C"/>
    <w:rsid w:val="238E1670"/>
    <w:rsid w:val="23DA37D9"/>
    <w:rsid w:val="24B92327"/>
    <w:rsid w:val="24C14514"/>
    <w:rsid w:val="2533755C"/>
    <w:rsid w:val="25412324"/>
    <w:rsid w:val="25791755"/>
    <w:rsid w:val="26396DF4"/>
    <w:rsid w:val="27167136"/>
    <w:rsid w:val="27625216"/>
    <w:rsid w:val="27B23302"/>
    <w:rsid w:val="28612D06"/>
    <w:rsid w:val="29310A5F"/>
    <w:rsid w:val="29C37A35"/>
    <w:rsid w:val="2A076083"/>
    <w:rsid w:val="2A73162E"/>
    <w:rsid w:val="2AA75AFA"/>
    <w:rsid w:val="2B167953"/>
    <w:rsid w:val="2B200583"/>
    <w:rsid w:val="2B3C1F3B"/>
    <w:rsid w:val="2B8209DE"/>
    <w:rsid w:val="2C6762A3"/>
    <w:rsid w:val="2DCF11AD"/>
    <w:rsid w:val="2EBF7B3E"/>
    <w:rsid w:val="2EDE1934"/>
    <w:rsid w:val="2FA16C8E"/>
    <w:rsid w:val="2FCA4B37"/>
    <w:rsid w:val="2FE029D7"/>
    <w:rsid w:val="2FF06E00"/>
    <w:rsid w:val="30562E26"/>
    <w:rsid w:val="30586FEC"/>
    <w:rsid w:val="30D532B0"/>
    <w:rsid w:val="30EC7046"/>
    <w:rsid w:val="315F0B22"/>
    <w:rsid w:val="319D022C"/>
    <w:rsid w:val="31C90022"/>
    <w:rsid w:val="31D84415"/>
    <w:rsid w:val="32285F6F"/>
    <w:rsid w:val="32770556"/>
    <w:rsid w:val="329C0913"/>
    <w:rsid w:val="32AA0460"/>
    <w:rsid w:val="3337290D"/>
    <w:rsid w:val="335136FA"/>
    <w:rsid w:val="33E31118"/>
    <w:rsid w:val="33EF7674"/>
    <w:rsid w:val="342D7BC6"/>
    <w:rsid w:val="343B6A4E"/>
    <w:rsid w:val="352930DB"/>
    <w:rsid w:val="35573069"/>
    <w:rsid w:val="355F6038"/>
    <w:rsid w:val="358C217E"/>
    <w:rsid w:val="35937598"/>
    <w:rsid w:val="36C9128A"/>
    <w:rsid w:val="36CF57C3"/>
    <w:rsid w:val="371127C2"/>
    <w:rsid w:val="372E3953"/>
    <w:rsid w:val="37841E99"/>
    <w:rsid w:val="37A32552"/>
    <w:rsid w:val="37BF1123"/>
    <w:rsid w:val="383C3F15"/>
    <w:rsid w:val="38B90A1D"/>
    <w:rsid w:val="38B97545"/>
    <w:rsid w:val="38BE4696"/>
    <w:rsid w:val="3939115E"/>
    <w:rsid w:val="39B82A39"/>
    <w:rsid w:val="39C42CA8"/>
    <w:rsid w:val="39D66AF5"/>
    <w:rsid w:val="39DC4FD6"/>
    <w:rsid w:val="39F03D7A"/>
    <w:rsid w:val="39F33306"/>
    <w:rsid w:val="3A2C1C67"/>
    <w:rsid w:val="3B1705E5"/>
    <w:rsid w:val="3B18334B"/>
    <w:rsid w:val="3B36794F"/>
    <w:rsid w:val="3C075BC0"/>
    <w:rsid w:val="3C566AD6"/>
    <w:rsid w:val="3C6A5B02"/>
    <w:rsid w:val="3D2757A1"/>
    <w:rsid w:val="3D3D4FC4"/>
    <w:rsid w:val="3DDF3AB1"/>
    <w:rsid w:val="3E1D0952"/>
    <w:rsid w:val="3E3A0196"/>
    <w:rsid w:val="3E42660A"/>
    <w:rsid w:val="3E7555B1"/>
    <w:rsid w:val="3E787ED9"/>
    <w:rsid w:val="3EEC37F3"/>
    <w:rsid w:val="3F032E93"/>
    <w:rsid w:val="3F0527E5"/>
    <w:rsid w:val="3F23053D"/>
    <w:rsid w:val="3F694D83"/>
    <w:rsid w:val="3F885DCC"/>
    <w:rsid w:val="3FCD675E"/>
    <w:rsid w:val="4004000C"/>
    <w:rsid w:val="407C2C59"/>
    <w:rsid w:val="411B6CE5"/>
    <w:rsid w:val="412070D7"/>
    <w:rsid w:val="41314E40"/>
    <w:rsid w:val="41E0734B"/>
    <w:rsid w:val="426554D0"/>
    <w:rsid w:val="426C1EA8"/>
    <w:rsid w:val="42736402"/>
    <w:rsid w:val="42E86A87"/>
    <w:rsid w:val="43307B09"/>
    <w:rsid w:val="438D0E97"/>
    <w:rsid w:val="43BB152F"/>
    <w:rsid w:val="44A757F8"/>
    <w:rsid w:val="44C37687"/>
    <w:rsid w:val="45CB699A"/>
    <w:rsid w:val="465B470D"/>
    <w:rsid w:val="469D6AD4"/>
    <w:rsid w:val="471E6C84"/>
    <w:rsid w:val="4748792B"/>
    <w:rsid w:val="475D719D"/>
    <w:rsid w:val="47674801"/>
    <w:rsid w:val="47CC6811"/>
    <w:rsid w:val="48225EF7"/>
    <w:rsid w:val="488F422B"/>
    <w:rsid w:val="48E36915"/>
    <w:rsid w:val="495C4A24"/>
    <w:rsid w:val="497135DF"/>
    <w:rsid w:val="4A263DF2"/>
    <w:rsid w:val="4A2F3EC3"/>
    <w:rsid w:val="4A6F6675"/>
    <w:rsid w:val="4B0502DF"/>
    <w:rsid w:val="4B135857"/>
    <w:rsid w:val="4B5D4175"/>
    <w:rsid w:val="4B7951CB"/>
    <w:rsid w:val="4B7C315C"/>
    <w:rsid w:val="4B9234B5"/>
    <w:rsid w:val="4BA10BDB"/>
    <w:rsid w:val="4DAC4ACA"/>
    <w:rsid w:val="4DBE01D2"/>
    <w:rsid w:val="4EBB3F4B"/>
    <w:rsid w:val="4EFC6D10"/>
    <w:rsid w:val="4F0C6BA3"/>
    <w:rsid w:val="4F10477D"/>
    <w:rsid w:val="4F186D58"/>
    <w:rsid w:val="4FD6B541"/>
    <w:rsid w:val="4FEA65B7"/>
    <w:rsid w:val="50F06B6E"/>
    <w:rsid w:val="51EB23EA"/>
    <w:rsid w:val="52234D33"/>
    <w:rsid w:val="522F6E0C"/>
    <w:rsid w:val="52463BA1"/>
    <w:rsid w:val="52BC116D"/>
    <w:rsid w:val="52F163D4"/>
    <w:rsid w:val="531A2DB4"/>
    <w:rsid w:val="53C0244D"/>
    <w:rsid w:val="53DD4D4E"/>
    <w:rsid w:val="53E578CE"/>
    <w:rsid w:val="541330F0"/>
    <w:rsid w:val="54272666"/>
    <w:rsid w:val="543B029D"/>
    <w:rsid w:val="547F40D6"/>
    <w:rsid w:val="54846F1C"/>
    <w:rsid w:val="54861779"/>
    <w:rsid w:val="552256E1"/>
    <w:rsid w:val="554E5773"/>
    <w:rsid w:val="555A3CBC"/>
    <w:rsid w:val="5582012B"/>
    <w:rsid w:val="558E4E05"/>
    <w:rsid w:val="55921208"/>
    <w:rsid w:val="55BE2E85"/>
    <w:rsid w:val="56530F5D"/>
    <w:rsid w:val="567700D3"/>
    <w:rsid w:val="56D3370D"/>
    <w:rsid w:val="56FF7E9E"/>
    <w:rsid w:val="578867FC"/>
    <w:rsid w:val="5842572D"/>
    <w:rsid w:val="5A3B59D6"/>
    <w:rsid w:val="5AD134D8"/>
    <w:rsid w:val="5B6503B1"/>
    <w:rsid w:val="5C263CE4"/>
    <w:rsid w:val="5C5D2777"/>
    <w:rsid w:val="5CF66BF3"/>
    <w:rsid w:val="5D112524"/>
    <w:rsid w:val="5D290C69"/>
    <w:rsid w:val="5F2D4A41"/>
    <w:rsid w:val="5F693096"/>
    <w:rsid w:val="6068564C"/>
    <w:rsid w:val="60C74F6C"/>
    <w:rsid w:val="61025A59"/>
    <w:rsid w:val="613D5BBC"/>
    <w:rsid w:val="61536C39"/>
    <w:rsid w:val="62944DD7"/>
    <w:rsid w:val="62BB636E"/>
    <w:rsid w:val="6319381F"/>
    <w:rsid w:val="63236436"/>
    <w:rsid w:val="63C25DC5"/>
    <w:rsid w:val="63C62057"/>
    <w:rsid w:val="63DA7B27"/>
    <w:rsid w:val="64571EF5"/>
    <w:rsid w:val="64FB113D"/>
    <w:rsid w:val="656152C6"/>
    <w:rsid w:val="6587477F"/>
    <w:rsid w:val="658C3A08"/>
    <w:rsid w:val="65C031CA"/>
    <w:rsid w:val="65CE6852"/>
    <w:rsid w:val="66267C04"/>
    <w:rsid w:val="663F505A"/>
    <w:rsid w:val="66967186"/>
    <w:rsid w:val="6699659F"/>
    <w:rsid w:val="66EE5541"/>
    <w:rsid w:val="671943F5"/>
    <w:rsid w:val="67924660"/>
    <w:rsid w:val="68407834"/>
    <w:rsid w:val="6883293E"/>
    <w:rsid w:val="688412AD"/>
    <w:rsid w:val="68EB1B71"/>
    <w:rsid w:val="69475C96"/>
    <w:rsid w:val="69A267AF"/>
    <w:rsid w:val="6A4F0C17"/>
    <w:rsid w:val="6AAD2300"/>
    <w:rsid w:val="6B474EF5"/>
    <w:rsid w:val="6BBF53FD"/>
    <w:rsid w:val="6C560CAE"/>
    <w:rsid w:val="6C576495"/>
    <w:rsid w:val="6D3D2F87"/>
    <w:rsid w:val="6D903FF5"/>
    <w:rsid w:val="6DA955B8"/>
    <w:rsid w:val="6DE346AB"/>
    <w:rsid w:val="6DE5391A"/>
    <w:rsid w:val="6E4A407E"/>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553678"/>
    <w:rsid w:val="78BC6AA1"/>
    <w:rsid w:val="796D60A4"/>
    <w:rsid w:val="79A031D5"/>
    <w:rsid w:val="79B13BCF"/>
    <w:rsid w:val="7A1525F7"/>
    <w:rsid w:val="7A8E75CF"/>
    <w:rsid w:val="7B420052"/>
    <w:rsid w:val="7B6E6735"/>
    <w:rsid w:val="7B861484"/>
    <w:rsid w:val="7BD06A28"/>
    <w:rsid w:val="7BDA3F9A"/>
    <w:rsid w:val="7C3A7C0B"/>
    <w:rsid w:val="7C5248E4"/>
    <w:rsid w:val="7C566698"/>
    <w:rsid w:val="7C5866A3"/>
    <w:rsid w:val="7D7406BB"/>
    <w:rsid w:val="7DE94331"/>
    <w:rsid w:val="7F446A19"/>
    <w:rsid w:val="7F542CC9"/>
    <w:rsid w:val="7F7452B9"/>
    <w:rsid w:val="7F9F6A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4035</Words>
  <Characters>4786</Characters>
  <Lines>194</Lines>
  <Paragraphs>54</Paragraphs>
  <TotalTime>2</TotalTime>
  <ScaleCrop>false</ScaleCrop>
  <LinksUpToDate>false</LinksUpToDate>
  <CharactersWithSpaces>4812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2026-06-10T02:33:29Z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3F9064F6AD9942D1A7C4A5D00C1F8C63_13</vt:lpwstr>
  </property>
  <property fmtid="{D5CDD505-2E9C-101B-9397-08002B2CF9AE}" pid="4" name="KSOTemplateDocerSaveRecord">
    <vt:lpwstr>eyJoZGlkIjoiZDRlMTI0ZmZkNWVkNDk2ZTg4NWYwOTQyMjQxMmY4NGEiLCJ1c2VySWQiOiIxMzIzODcwMDMzIn0=</vt:lpwstr>
  </property>
</Properties>
</file>