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Times New Roman" w:hAnsi="Times New Roman" w:eastAsia="方正小标宋_GBK" w:cs="方正小标宋_GBK"/>
          <w:color w:val="auto"/>
          <w:sz w:val="44"/>
          <w:szCs w:val="44"/>
        </w:rPr>
      </w:pPr>
      <w:r>
        <w:rPr>
          <w:rFonts w:ascii="Times New Roman" w:hAnsi="Times New Roman" w:eastAsia="方正小标宋_GBK" w:cs="方正小标宋_GBK"/>
          <w:color w:val="auto"/>
          <w:sz w:val="44"/>
          <w:szCs w:val="44"/>
        </w:rPr>
        <w:t>巫溪县社会治安综合治理服务中心</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Times New Roman" w:hAnsi="Times New Roman" w:eastAsia="方正小标宋_GBK" w:cs="方正小标宋_GBK"/>
          <w:color w:val="auto"/>
          <w:sz w:val="44"/>
          <w:szCs w:val="44"/>
          <w:shd w:val="clear" w:color="auto" w:fill="FFFFFF"/>
        </w:rPr>
        <w:t>年度决算公开说明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黑体" w:cs="黑体"/>
          <w:color w:val="auto"/>
          <w:sz w:val="32"/>
          <w:szCs w:val="32"/>
          <w:shd w:val="clear" w:color="auto" w:fill="FFFFFF"/>
          <w:lang w:val="en-US" w:eastAsia="zh-CN" w:bidi="ar-SA"/>
        </w:rPr>
      </w:pPr>
      <w:r>
        <w:rPr>
          <w:rStyle w:val="10"/>
          <w:rFonts w:hint="eastAsia" w:ascii="Times New Roman" w:hAnsi="Times New Roman" w:eastAsia="黑体" w:cs="黑体"/>
          <w:color w:val="auto"/>
          <w:sz w:val="32"/>
          <w:szCs w:val="32"/>
          <w:shd w:val="clear" w:color="auto" w:fill="FFFFFF"/>
          <w:lang w:val="en-US" w:eastAsia="zh-CN" w:bidi="ar-SA"/>
        </w:rPr>
        <w:t>一、单位基本情况</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（一）职能职责</w:t>
      </w:r>
    </w:p>
    <w:p>
      <w:pPr>
        <w:pStyle w:val="14"/>
        <w:keepNext w:val="0"/>
        <w:keepLines w:val="0"/>
        <w:pageBreakBefore w:val="0"/>
        <w:tabs>
          <w:tab w:val="center" w:pos="4153"/>
          <w:tab w:val="left" w:pos="7275"/>
        </w:tabs>
        <w:kinsoku/>
        <w:overflowPunct/>
        <w:topLinePunct w:val="0"/>
        <w:autoSpaceDN/>
        <w:bidi w:val="0"/>
        <w:adjustRightInd/>
        <w:spacing w:beforeAutospacing="0" w:afterAutospacing="0" w:line="594" w:lineRule="exact"/>
        <w:jc w:val="left"/>
        <w:rPr>
          <w:rFonts w:hint="eastAsia" w:ascii="Times New Roman" w:hAnsi="Times New Roman" w:eastAsia="方正仿宋_GBK"/>
          <w:color w:val="auto"/>
          <w:sz w:val="32"/>
          <w:szCs w:val="32"/>
        </w:rPr>
      </w:pPr>
      <w:r>
        <w:rPr>
          <w:rFonts w:hint="eastAsia" w:ascii="Times New Roman" w:hAnsi="Times New Roman" w:eastAsia="方正仿宋_GBK" w:cs="Times New Roman"/>
          <w:color w:val="auto"/>
          <w:kern w:val="2"/>
          <w:sz w:val="32"/>
          <w:szCs w:val="32"/>
          <w:lang w:val="en-US" w:eastAsia="zh-CN" w:bidi="ar-SA"/>
        </w:rPr>
        <w:t>巫溪县社会治安综合治理服务中心主要承担市域社会治理现代化、社会治安防控体系、社会治安综合治理队伍、社会治理智能化建设及网格化服务管理等平安建设工作，为平安巫溪建设提供服务保障。</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（二）机构设置</w:t>
      </w:r>
    </w:p>
    <w:p>
      <w:pPr>
        <w:keepNext w:val="0"/>
        <w:keepLines w:val="0"/>
        <w:pageBreakBefore w:val="0"/>
        <w:kinsoku/>
        <w:overflowPunct/>
        <w:topLinePunct w:val="0"/>
        <w:autoSpaceDN/>
        <w:bidi w:val="0"/>
        <w:adjustRightInd/>
        <w:snapToGrid w:val="0"/>
        <w:spacing w:beforeAutospacing="0" w:afterAutospacing="0" w:line="594" w:lineRule="exact"/>
        <w:ind w:firstLine="640" w:firstLineChars="200"/>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本单位为县委政法委所属公益一类事业单位</w:t>
      </w:r>
      <w:r>
        <w:rPr>
          <w:rFonts w:hint="eastAsia" w:ascii="Times New Roman" w:hAnsi="Times New Roman" w:eastAsia="方正仿宋_GBK"/>
          <w:color w:val="auto"/>
          <w:sz w:val="32"/>
          <w:szCs w:val="32"/>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黑体" w:cs="黑体"/>
          <w:color w:val="auto"/>
          <w:sz w:val="32"/>
          <w:szCs w:val="32"/>
          <w:shd w:val="clear" w:color="auto" w:fill="FFFFFF"/>
          <w:lang w:val="en-US" w:eastAsia="zh-CN" w:bidi="ar-SA"/>
        </w:rPr>
      </w:pPr>
      <w:r>
        <w:rPr>
          <w:rStyle w:val="10"/>
          <w:rFonts w:hint="eastAsia" w:ascii="Times New Roman" w:hAnsi="Times New Roman" w:eastAsia="黑体" w:cs="黑体"/>
          <w:color w:val="auto"/>
          <w:sz w:val="32"/>
          <w:szCs w:val="32"/>
          <w:shd w:val="clear" w:color="auto" w:fill="FFFFFF"/>
          <w:lang w:val="en-US" w:eastAsia="zh-CN" w:bidi="ar-SA"/>
        </w:rPr>
        <w:t>二、单位决算收支情况说明</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（一）收入支出决算总体情况说明。</w:t>
      </w:r>
    </w:p>
    <w:p>
      <w:pPr>
        <w:pStyle w:val="14"/>
        <w:keepNext w:val="0"/>
        <w:keepLines w:val="0"/>
        <w:pageBreakBefore w:val="0"/>
        <w:tabs>
          <w:tab w:val="center" w:pos="4153"/>
          <w:tab w:val="left" w:pos="7275"/>
        </w:tabs>
        <w:kinsoku/>
        <w:overflowPunct/>
        <w:topLinePunct w:val="0"/>
        <w:autoSpaceDN/>
        <w:bidi w:val="0"/>
        <w:adjustRightInd/>
        <w:spacing w:beforeAutospacing="0" w:afterAutospacing="0" w:line="594" w:lineRule="exact"/>
        <w:jc w:val="left"/>
        <w:rPr>
          <w:rFonts w:hint="default"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cs="方正仿宋_GBK"/>
          <w:color w:val="auto"/>
          <w:kern w:val="0"/>
          <w:sz w:val="32"/>
          <w:szCs w:val="32"/>
          <w:shd w:val="clear" w:color="auto" w:fill="FFFFFF"/>
          <w:lang w:val="en-US" w:eastAsia="zh-CN" w:bidi="ar-SA"/>
        </w:rPr>
        <w:t>1.总体情况。</w:t>
      </w:r>
      <w:r>
        <w:rPr>
          <w:rFonts w:hint="eastAsia" w:ascii="Times New Roman" w:hAnsi="Times New Roman" w:eastAsia="方正仿宋_GBK" w:cs="Times New Roman"/>
          <w:color w:val="auto"/>
          <w:kern w:val="2"/>
          <w:sz w:val="32"/>
          <w:szCs w:val="32"/>
          <w:lang w:val="en-US" w:eastAsia="zh-CN" w:bidi="ar-SA"/>
        </w:rPr>
        <w:t>2024年度收入总计102.47万元，支出总计102.47万元。收、支与2023年度相比，增加102.47万元，增长100.0%，主要原因是巫溪县社会治安综合治理服务中心为政法委下属二级事业单位，2024年开始独立核算，2023年收入为0，因此2024年收入增加102.47万元，增长100.0%。</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10"/>
          <w:rFonts w:ascii="Times New Roman" w:hAnsi="Times New Roman" w:eastAsia="方正仿宋_GBK" w:cs="方正仿宋_GBK"/>
          <w:color w:val="auto"/>
          <w:sz w:val="32"/>
          <w:szCs w:val="32"/>
          <w:shd w:val="clear" w:color="auto" w:fill="FFFFFF"/>
        </w:rPr>
        <w:t>2.收入情况。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度收入合计102.47万元，与2023年度相比，增加102.47万元，增长100.0%，主要原因是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巫溪县社会治安综合治理服务中心为政法委下属二级事业单位，2024年开始独立核算，2023年收入为0，因此2024年收入</w:t>
      </w:r>
      <w:r>
        <w:rPr>
          <w:rFonts w:ascii="Times New Roman" w:hAnsi="Times New Roman" w:eastAsia="方正仿宋_GBK" w:cs="方正仿宋_GBK"/>
          <w:color w:val="auto"/>
          <w:sz w:val="32"/>
          <w:szCs w:val="32"/>
          <w:shd w:val="clear" w:color="auto" w:fill="FFFFFF"/>
        </w:rPr>
        <w:t>增加102.47万元，增长100.0%</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其中：财政拨款收入</w:t>
      </w:r>
      <w:r>
        <w:rPr>
          <w:rFonts w:ascii="Times New Roman" w:hAnsi="Times New Roman" w:eastAsia="方正仿宋_GBK" w:cs="方正仿宋_GBK"/>
          <w:color w:val="auto"/>
          <w:sz w:val="32"/>
          <w:szCs w:val="32"/>
        </w:rPr>
        <w:t>102.47</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100.00</w:t>
      </w:r>
      <w:r>
        <w:rPr>
          <w:rFonts w:ascii="Times New Roman" w:hAnsi="Times New Roman" w:eastAsia="方正仿宋_GBK" w:cs="方正仿宋_GBK"/>
          <w:color w:val="auto"/>
          <w:sz w:val="32"/>
          <w:szCs w:val="32"/>
          <w:shd w:val="clear" w:color="auto" w:fill="FFFFFF"/>
        </w:rPr>
        <w:t>%；事业收入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万元，占0.00%；经营收入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万元，占0.00%；其他收入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万元，占0.00%。此外，使用非财政拨款结余和专用结余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万元，年初结转和结余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10"/>
          <w:rFonts w:ascii="Times New Roman" w:hAnsi="Times New Roman" w:eastAsia="方正仿宋_GBK" w:cs="方正仿宋_GBK"/>
          <w:color w:val="auto"/>
          <w:sz w:val="32"/>
          <w:szCs w:val="32"/>
          <w:shd w:val="clear" w:color="auto" w:fill="FFFFFF"/>
        </w:rPr>
        <w:t>3.支出情况。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度支出合计</w:t>
      </w:r>
      <w:r>
        <w:rPr>
          <w:rFonts w:ascii="Times New Roman" w:hAnsi="Times New Roman" w:eastAsia="方正仿宋_GBK" w:cs="方正仿宋_GBK"/>
          <w:color w:val="auto"/>
          <w:sz w:val="32"/>
          <w:szCs w:val="32"/>
        </w:rPr>
        <w:t>102.47</w:t>
      </w:r>
      <w:r>
        <w:rPr>
          <w:rFonts w:ascii="Times New Roman" w:hAnsi="Times New Roman" w:eastAsia="方正仿宋_GBK" w:cs="方正仿宋_GBK"/>
          <w:color w:val="auto"/>
          <w:sz w:val="32"/>
          <w:szCs w:val="32"/>
          <w:shd w:val="clear" w:color="auto" w:fill="FFFFFF"/>
        </w:rPr>
        <w:t>万元，与2023年度相比，增加102.47万元，增长100.0%，主要原因是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巫溪县社会治安综合治理服务中心为政法委下属二级事业单位，2024年开始独立核算，2023年收入为0，因此2024年收入</w:t>
      </w:r>
      <w:r>
        <w:rPr>
          <w:rFonts w:ascii="Times New Roman" w:hAnsi="Times New Roman" w:eastAsia="方正仿宋_GBK" w:cs="方正仿宋_GBK"/>
          <w:color w:val="auto"/>
          <w:sz w:val="32"/>
          <w:szCs w:val="32"/>
          <w:shd w:val="clear" w:color="auto" w:fill="FFFFFF"/>
        </w:rPr>
        <w:t>增加102.47万元，增长100.0%。其中：基本支出</w:t>
      </w:r>
      <w:r>
        <w:rPr>
          <w:rFonts w:ascii="Times New Roman" w:hAnsi="Times New Roman" w:eastAsia="方正仿宋_GBK" w:cs="方正仿宋_GBK"/>
          <w:color w:val="auto"/>
          <w:sz w:val="32"/>
          <w:szCs w:val="32"/>
        </w:rPr>
        <w:t>102.47</w:t>
      </w:r>
      <w:r>
        <w:rPr>
          <w:rFonts w:ascii="Times New Roman" w:hAnsi="Times New Roman" w:eastAsia="方正仿宋_GBK" w:cs="方正仿宋_GBK"/>
          <w:color w:val="auto"/>
          <w:sz w:val="32"/>
          <w:szCs w:val="32"/>
          <w:shd w:val="clear" w:color="auto" w:fill="FFFFFF"/>
        </w:rPr>
        <w:t>万元，占100.00%；项目支出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万元，占0.00%；经营支出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万元，占0.00%。此外，结余分配</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方正仿宋_GBK"/>
          <w:color w:val="auto"/>
          <w:sz w:val="32"/>
          <w:szCs w:val="32"/>
        </w:rPr>
      </w:pPr>
      <w:r>
        <w:rPr>
          <w:rStyle w:val="10"/>
          <w:rFonts w:ascii="Times New Roman" w:hAnsi="Times New Roman" w:eastAsia="方正仿宋_GBK" w:cs="方正仿宋_GBK"/>
          <w:color w:val="auto"/>
          <w:sz w:val="32"/>
          <w:szCs w:val="32"/>
          <w:shd w:val="clear" w:color="auto" w:fill="FFFFFF"/>
        </w:rPr>
        <w:t>4.结转结余情况。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度年末结转和结余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万元，与2023年度相比，无增减，主要原因是</w:t>
      </w:r>
      <w:r>
        <w:rPr>
          <w:rFonts w:hint="eastAsia" w:ascii="Times New Roman" w:hAnsi="Times New Roman" w:eastAsia="方正仿宋_GBK" w:cs="方正仿宋_GBK"/>
          <w:color w:val="auto"/>
          <w:sz w:val="32"/>
          <w:szCs w:val="32"/>
          <w:shd w:val="clear" w:color="auto" w:fill="FFFFFF"/>
          <w:lang w:val="en-US" w:eastAsia="zh-CN"/>
        </w:rPr>
        <w:t>我单位无年末结转和结余</w:t>
      </w:r>
      <w:r>
        <w:rPr>
          <w:rFonts w:ascii="Times New Roman" w:hAnsi="Times New Roman" w:eastAsia="方正仿宋_GBK" w:cs="方正仿宋_GBK"/>
          <w:color w:val="auto"/>
          <w:sz w:val="32"/>
          <w:szCs w:val="32"/>
          <w:shd w:val="clear" w:color="auto" w:fill="FFFFFF"/>
        </w:rPr>
        <w:t>。</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（二）财政拨款收入支出决算总体情况说明</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度财政拨款收、支总计102.47万元。与202</w:t>
      </w:r>
      <w:r>
        <w:rPr>
          <w:rFonts w:hint="eastAsia" w:ascii="Times New Roman" w:hAnsi="Times New Roman" w:eastAsia="方正仿宋_GBK" w:cs="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年相比，财政拨款收、支总计各增加102.47万元，增长100.0%。主要原因是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巫溪县社会治安综合治理服务中心为政法委下属二级事业单位，2024年开始独立核算，2023年收收、支均为0，因此2024年收、支</w:t>
      </w:r>
      <w:r>
        <w:rPr>
          <w:rFonts w:ascii="Times New Roman" w:hAnsi="Times New Roman" w:eastAsia="方正仿宋_GBK" w:cs="方正仿宋_GBK"/>
          <w:color w:val="auto"/>
          <w:sz w:val="32"/>
          <w:szCs w:val="32"/>
          <w:shd w:val="clear" w:color="auto" w:fill="FFFFFF"/>
        </w:rPr>
        <w:t>增加102.47万元，增长100.0%。</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（三）一般公共预算财政拨款收入支出决算情况说明</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方正仿宋_GBK"/>
          <w:color w:val="auto"/>
          <w:sz w:val="32"/>
          <w:szCs w:val="32"/>
        </w:rPr>
      </w:pPr>
      <w:r>
        <w:rPr>
          <w:rStyle w:val="10"/>
          <w:rFonts w:ascii="Times New Roman" w:hAnsi="Times New Roman" w:eastAsia="方正仿宋_GBK" w:cs="方正仿宋_GBK"/>
          <w:color w:val="auto"/>
          <w:sz w:val="32"/>
          <w:szCs w:val="32"/>
          <w:shd w:val="clear" w:color="auto" w:fill="FFFFFF"/>
        </w:rPr>
        <w:t>1.收入情况。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度一般公共预算财政拨款收入</w:t>
      </w:r>
      <w:r>
        <w:rPr>
          <w:rFonts w:ascii="Times New Roman" w:hAnsi="Times New Roman" w:eastAsia="方正仿宋_GBK" w:cs="方正仿宋_GBK"/>
          <w:color w:val="auto"/>
          <w:sz w:val="32"/>
          <w:szCs w:val="32"/>
        </w:rPr>
        <w:t>102.47</w:t>
      </w:r>
      <w:r>
        <w:rPr>
          <w:rFonts w:ascii="Times New Roman" w:hAnsi="Times New Roman" w:eastAsia="方正仿宋_GBK" w:cs="方正仿宋_GBK"/>
          <w:color w:val="auto"/>
          <w:sz w:val="32"/>
          <w:szCs w:val="32"/>
          <w:shd w:val="clear" w:color="auto" w:fill="FFFFFF"/>
        </w:rPr>
        <w:t>万元，与2023年度相比，增加102.47万元，增长100.0%。主要原因是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w:t>
      </w:r>
      <w:r>
        <w:rPr>
          <w:rFonts w:ascii="Times New Roman" w:hAnsi="Times New Roman" w:eastAsia="方正仿宋_GBK" w:cs="方正仿宋_GBK"/>
          <w:color w:val="auto"/>
          <w:sz w:val="32"/>
          <w:szCs w:val="32"/>
          <w:shd w:val="clear" w:color="auto" w:fill="FFFFFF"/>
        </w:rPr>
        <w:t>一般公共预算财政拨款收入</w:t>
      </w:r>
      <w:r>
        <w:rPr>
          <w:rFonts w:hint="eastAsia" w:ascii="Times New Roman" w:hAnsi="Times New Roman" w:eastAsia="方正仿宋_GBK" w:cs="方正仿宋_GBK"/>
          <w:color w:val="auto"/>
          <w:sz w:val="32"/>
          <w:szCs w:val="32"/>
          <w:shd w:val="clear" w:color="auto" w:fill="FFFFFF"/>
          <w:lang w:val="en-US" w:eastAsia="zh-CN"/>
        </w:rPr>
        <w:t>为0，因此2024年</w:t>
      </w:r>
      <w:r>
        <w:rPr>
          <w:rFonts w:ascii="Times New Roman" w:hAnsi="Times New Roman" w:eastAsia="方正仿宋_GBK" w:cs="方正仿宋_GBK"/>
          <w:color w:val="auto"/>
          <w:sz w:val="32"/>
          <w:szCs w:val="32"/>
          <w:shd w:val="clear" w:color="auto" w:fill="FFFFFF"/>
        </w:rPr>
        <w:t>一般公共预算财政拨款收入增加102.47万元，增长100.0%。较年初预算数减少3.98万元，下降3.7%。</w:t>
      </w:r>
      <w:r>
        <w:rPr>
          <w:rFonts w:hint="eastAsia" w:ascii="Times New Roman" w:hAnsi="Times New Roman" w:eastAsia="方正仿宋_GBK" w:cs="方正仿宋_GBK"/>
          <w:color w:val="auto"/>
          <w:sz w:val="32"/>
          <w:szCs w:val="32"/>
          <w:shd w:val="clear" w:color="auto" w:fill="FFFFFF"/>
          <w:lang w:val="en-US" w:eastAsia="zh-CN"/>
        </w:rPr>
        <w:t>主要原因是积极响应“过紧日子”要求，减少办公费等费用支出。</w:t>
      </w:r>
      <w:r>
        <w:rPr>
          <w:rFonts w:ascii="Times New Roman" w:hAnsi="Times New Roman" w:eastAsia="方正仿宋_GBK" w:cs="方正仿宋_GBK"/>
          <w:color w:val="auto"/>
          <w:sz w:val="32"/>
          <w:szCs w:val="32"/>
          <w:shd w:val="clear" w:color="auto" w:fill="FFFFFF"/>
        </w:rPr>
        <w:t>此外，年初财政拨款结转和结余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auto"/>
          <w:sz w:val="32"/>
          <w:szCs w:val="32"/>
          <w:shd w:val="clear" w:color="auto" w:fill="FFFFFF"/>
          <w:lang w:val="en-US" w:eastAsia="zh-CN"/>
        </w:rPr>
      </w:pPr>
      <w:r>
        <w:rPr>
          <w:rStyle w:val="10"/>
          <w:rFonts w:ascii="Times New Roman" w:hAnsi="Times New Roman" w:eastAsia="方正仿宋_GBK" w:cs="方正仿宋_GBK"/>
          <w:color w:val="auto"/>
          <w:sz w:val="32"/>
          <w:szCs w:val="32"/>
          <w:shd w:val="clear" w:color="auto" w:fill="FFFFFF"/>
        </w:rPr>
        <w:t>2.支出情况。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度一般公共预算财政拨款支出</w:t>
      </w:r>
      <w:r>
        <w:rPr>
          <w:rFonts w:ascii="Times New Roman" w:hAnsi="Times New Roman" w:eastAsia="方正仿宋_GBK" w:cs="方正仿宋_GBK"/>
          <w:color w:val="auto"/>
          <w:sz w:val="32"/>
          <w:szCs w:val="32"/>
        </w:rPr>
        <w:t>102.47</w:t>
      </w:r>
      <w:r>
        <w:rPr>
          <w:rFonts w:ascii="Times New Roman" w:hAnsi="Times New Roman" w:eastAsia="方正仿宋_GBK" w:cs="方正仿宋_GBK"/>
          <w:color w:val="auto"/>
          <w:sz w:val="32"/>
          <w:szCs w:val="32"/>
          <w:shd w:val="clear" w:color="auto" w:fill="FFFFFF"/>
        </w:rPr>
        <w:t>万元，与2023年度相比，增加102.47万元，增长100.0%。主要原因是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w:t>
      </w:r>
      <w:r>
        <w:rPr>
          <w:rFonts w:ascii="Times New Roman" w:hAnsi="Times New Roman" w:eastAsia="方正仿宋_GBK" w:cs="方正仿宋_GBK"/>
          <w:color w:val="auto"/>
          <w:sz w:val="32"/>
          <w:szCs w:val="32"/>
          <w:shd w:val="clear" w:color="auto" w:fill="FFFFFF"/>
        </w:rPr>
        <w:t>一般公共预算财政拨款支出</w:t>
      </w:r>
      <w:r>
        <w:rPr>
          <w:rFonts w:hint="eastAsia" w:ascii="Times New Roman" w:hAnsi="Times New Roman" w:eastAsia="方正仿宋_GBK" w:cs="方正仿宋_GBK"/>
          <w:color w:val="auto"/>
          <w:sz w:val="32"/>
          <w:szCs w:val="32"/>
          <w:shd w:val="clear" w:color="auto" w:fill="FFFFFF"/>
          <w:lang w:val="en-US" w:eastAsia="zh-CN"/>
        </w:rPr>
        <w:t>为0，因此2024年</w:t>
      </w:r>
      <w:r>
        <w:rPr>
          <w:rFonts w:ascii="Times New Roman" w:hAnsi="Times New Roman" w:eastAsia="方正仿宋_GBK" w:cs="方正仿宋_GBK"/>
          <w:color w:val="auto"/>
          <w:sz w:val="32"/>
          <w:szCs w:val="32"/>
          <w:shd w:val="clear" w:color="auto" w:fill="FFFFFF"/>
        </w:rPr>
        <w:t>一般公共预算财政拨款支出增加102.47万元，增长100.0%。较年初预算数减少3.98万元，下降3.7%。</w:t>
      </w:r>
      <w:r>
        <w:rPr>
          <w:rFonts w:hint="eastAsia" w:ascii="Times New Roman" w:hAnsi="Times New Roman" w:eastAsia="方正仿宋_GBK" w:cs="方正仿宋_GBK"/>
          <w:color w:val="auto"/>
          <w:sz w:val="32"/>
          <w:szCs w:val="32"/>
          <w:shd w:val="clear" w:color="auto" w:fill="FFFFFF"/>
          <w:lang w:val="en-US" w:eastAsia="zh-CN"/>
        </w:rPr>
        <w:t>主要原因是积极响应“过紧日子”要求，减少办公费等费用支出。</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方正仿宋_GBK"/>
          <w:color w:val="auto"/>
          <w:sz w:val="32"/>
          <w:szCs w:val="32"/>
        </w:rPr>
      </w:pPr>
      <w:r>
        <w:rPr>
          <w:rStyle w:val="10"/>
          <w:rFonts w:ascii="Times New Roman" w:hAnsi="Times New Roman" w:eastAsia="方正仿宋_GBK" w:cs="方正仿宋_GBK"/>
          <w:color w:val="auto"/>
          <w:sz w:val="32"/>
          <w:szCs w:val="32"/>
          <w:shd w:val="clear" w:color="auto" w:fill="FFFFFF"/>
        </w:rPr>
        <w:t>3.结转结余情况。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度年末一般公共预算财政拨款结转和结余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万元，与2023年度相比，无增减，主要原因是</w:t>
      </w:r>
      <w:r>
        <w:rPr>
          <w:rFonts w:hint="eastAsia" w:ascii="Times New Roman" w:hAnsi="Times New Roman" w:eastAsia="方正仿宋_GBK" w:cs="方正仿宋_GBK"/>
          <w:color w:val="auto"/>
          <w:sz w:val="32"/>
          <w:szCs w:val="32"/>
          <w:shd w:val="clear" w:color="auto" w:fill="FFFFFF"/>
          <w:lang w:val="en-US" w:eastAsia="zh-CN"/>
        </w:rPr>
        <w:t>我单位无一般公共预算拨款结转和结余</w:t>
      </w:r>
      <w:r>
        <w:rPr>
          <w:rFonts w:ascii="Times New Roman" w:hAnsi="Times New Roman" w:eastAsia="方正仿宋_GBK" w:cs="方正仿宋_GBK"/>
          <w:color w:val="auto"/>
          <w:sz w:val="32"/>
          <w:szCs w:val="32"/>
          <w:shd w:val="clear" w:color="auto" w:fill="FFFFFF"/>
        </w:rPr>
        <w:t>。</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方正仿宋_GBK"/>
          <w:color w:val="auto"/>
          <w:sz w:val="32"/>
          <w:szCs w:val="32"/>
          <w:highlight w:val="cyan"/>
          <w:shd w:val="clear" w:color="auto" w:fill="FFFFFF"/>
        </w:rPr>
      </w:pPr>
      <w:r>
        <w:rPr>
          <w:rStyle w:val="10"/>
          <w:rFonts w:ascii="Times New Roman" w:hAnsi="Times New Roman" w:eastAsia="方正仿宋_GBK" w:cs="方正仿宋_GBK"/>
          <w:color w:val="auto"/>
          <w:sz w:val="32"/>
          <w:szCs w:val="32"/>
          <w:shd w:val="clear" w:color="auto" w:fill="FFFFFF"/>
        </w:rPr>
        <w:t xml:space="preserve"> 4.比较情况。</w:t>
      </w: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度一般公共预算财政拨款支出主要用于以下几个方面：</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（1）一般公共服务支出</w:t>
      </w:r>
      <w:r>
        <w:rPr>
          <w:rFonts w:ascii="Times New Roman" w:hAnsi="Times New Roman" w:eastAsia="方正仿宋_GBK" w:cs="方正仿宋_GBK"/>
          <w:color w:val="auto"/>
          <w:sz w:val="32"/>
          <w:szCs w:val="32"/>
        </w:rPr>
        <w:t>77.43</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75.56</w:t>
      </w:r>
      <w:r>
        <w:rPr>
          <w:rFonts w:ascii="Times New Roman" w:hAnsi="Times New Roman" w:eastAsia="方正仿宋_GBK" w:cs="方正仿宋_GBK"/>
          <w:color w:val="auto"/>
          <w:sz w:val="32"/>
          <w:szCs w:val="32"/>
          <w:shd w:val="clear" w:color="auto" w:fill="FFFFFF"/>
        </w:rPr>
        <w:t>%，较年初预算数减少9.05万元，下降10.5%，主要原因是</w:t>
      </w:r>
      <w:r>
        <w:rPr>
          <w:rFonts w:hint="eastAsia" w:ascii="Times New Roman" w:hAnsi="Times New Roman" w:eastAsia="方正仿宋_GBK" w:cs="方正仿宋_GBK"/>
          <w:color w:val="auto"/>
          <w:sz w:val="32"/>
          <w:szCs w:val="32"/>
          <w:shd w:val="clear" w:color="auto" w:fill="FFFFFF"/>
          <w:lang w:val="en-US" w:eastAsia="zh-CN"/>
        </w:rPr>
        <w:t>积极响应“过紧日子”要求，节省开支，减少办公费等费用支出</w:t>
      </w:r>
      <w:r>
        <w:rPr>
          <w:rFonts w:ascii="Times New Roman" w:hAnsi="Times New Roman" w:eastAsia="方正仿宋_GBK" w:cs="方正仿宋_GBK"/>
          <w:color w:val="auto"/>
          <w:sz w:val="32"/>
          <w:szCs w:val="32"/>
          <w:shd w:val="clear" w:color="auto" w:fill="FFFFFF"/>
        </w:rPr>
        <w:t>。</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）社会保障与就业支出</w:t>
      </w:r>
      <w:r>
        <w:rPr>
          <w:rFonts w:ascii="Times New Roman" w:hAnsi="Times New Roman" w:eastAsia="方正仿宋_GBK" w:cs="方正仿宋_GBK"/>
          <w:color w:val="auto"/>
          <w:sz w:val="32"/>
          <w:szCs w:val="32"/>
        </w:rPr>
        <w:t>15.49</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15.11</w:t>
      </w:r>
      <w:r>
        <w:rPr>
          <w:rFonts w:ascii="Times New Roman" w:hAnsi="Times New Roman" w:eastAsia="方正仿宋_GBK" w:cs="方正仿宋_GBK"/>
          <w:color w:val="auto"/>
          <w:sz w:val="32"/>
          <w:szCs w:val="32"/>
          <w:shd w:val="clear" w:color="auto" w:fill="FFFFFF"/>
        </w:rPr>
        <w:t>%，较年初预算数增加5.07万元，增长48.7%，</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color w:val="auto"/>
          <w:sz w:val="32"/>
          <w:szCs w:val="32"/>
          <w:shd w:val="clear" w:color="auto" w:fill="FFFFFF"/>
          <w:lang w:val="en-US" w:eastAsia="zh-CN"/>
        </w:rPr>
        <w:t>部分职工职级晋升</w:t>
      </w:r>
      <w:bookmarkStart w:id="0" w:name="_GoBack"/>
      <w:bookmarkEnd w:id="0"/>
      <w:r>
        <w:rPr>
          <w:rFonts w:hint="eastAsia" w:ascii="Times New Roman" w:hAnsi="Times New Roman" w:eastAsia="方正仿宋_GBK" w:cs="方正仿宋_GBK"/>
          <w:color w:val="auto"/>
          <w:sz w:val="32"/>
          <w:szCs w:val="32"/>
          <w:shd w:val="clear" w:color="auto" w:fill="FFFFFF"/>
          <w:lang w:val="en-US" w:eastAsia="zh-CN"/>
        </w:rPr>
        <w:t>，社保缴费基数增加，造成</w:t>
      </w:r>
      <w:r>
        <w:rPr>
          <w:rFonts w:ascii="Times New Roman" w:hAnsi="Times New Roman" w:eastAsia="方正仿宋_GBK" w:cs="方正仿宋_GBK"/>
          <w:color w:val="auto"/>
          <w:sz w:val="32"/>
          <w:szCs w:val="32"/>
          <w:shd w:val="clear" w:color="auto" w:fill="FFFFFF"/>
        </w:rPr>
        <w:t>社会保障与就业支出</w:t>
      </w:r>
      <w:r>
        <w:rPr>
          <w:rFonts w:hint="eastAsia" w:ascii="Times New Roman" w:hAnsi="Times New Roman" w:eastAsia="方正仿宋_GBK" w:cs="方正仿宋_GBK"/>
          <w:color w:val="auto"/>
          <w:sz w:val="32"/>
          <w:szCs w:val="32"/>
          <w:shd w:val="clear" w:color="auto" w:fill="FFFFFF"/>
          <w:lang w:val="en-US" w:eastAsia="zh-CN"/>
        </w:rPr>
        <w:t>增加</w:t>
      </w:r>
      <w:r>
        <w:rPr>
          <w:rFonts w:ascii="Times New Roman" w:hAnsi="Times New Roman" w:eastAsia="方正仿宋_GBK" w:cs="方正仿宋_GBK"/>
          <w:color w:val="auto"/>
          <w:sz w:val="32"/>
          <w:szCs w:val="32"/>
          <w:shd w:val="clear" w:color="auto" w:fill="FFFFFF"/>
        </w:rPr>
        <w:t>。</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）卫生健康支出</w:t>
      </w:r>
      <w:r>
        <w:rPr>
          <w:rFonts w:ascii="Times New Roman" w:hAnsi="Times New Roman" w:eastAsia="方正仿宋_GBK" w:cs="方正仿宋_GBK"/>
          <w:color w:val="auto"/>
          <w:sz w:val="32"/>
          <w:szCs w:val="32"/>
        </w:rPr>
        <w:t>4.34</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4.24</w:t>
      </w:r>
      <w:r>
        <w:rPr>
          <w:rFonts w:ascii="Times New Roman" w:hAnsi="Times New Roman" w:eastAsia="方正仿宋_GBK" w:cs="方正仿宋_GBK"/>
          <w:color w:val="auto"/>
          <w:sz w:val="32"/>
          <w:szCs w:val="32"/>
          <w:shd w:val="clear" w:color="auto" w:fill="FFFFFF"/>
        </w:rPr>
        <w:t>%，较年初预算数无增减，主要原因是</w:t>
      </w:r>
      <w:r>
        <w:rPr>
          <w:rFonts w:hint="eastAsia" w:ascii="Times New Roman" w:hAnsi="Times New Roman" w:eastAsia="方正仿宋_GBK" w:cs="方正仿宋_GBK"/>
          <w:color w:val="auto"/>
          <w:sz w:val="32"/>
          <w:szCs w:val="32"/>
          <w:shd w:val="clear" w:color="auto" w:fill="FFFFFF"/>
          <w:lang w:val="en-US" w:eastAsia="zh-CN"/>
        </w:rPr>
        <w:t>严格按照年初预算支出经费</w:t>
      </w:r>
      <w:r>
        <w:rPr>
          <w:rFonts w:ascii="Times New Roman" w:hAnsi="Times New Roman" w:eastAsia="方正仿宋_GBK" w:cs="方正仿宋_GBK"/>
          <w:color w:val="auto"/>
          <w:sz w:val="32"/>
          <w:szCs w:val="32"/>
          <w:shd w:val="clear" w:color="auto" w:fill="FFFFFF"/>
        </w:rPr>
        <w:t>。</w:t>
      </w:r>
    </w:p>
    <w:p>
      <w:pPr>
        <w:keepNext w:val="0"/>
        <w:keepLines w:val="0"/>
        <w:pageBreakBefore w:val="0"/>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住房保障支出5.21</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5.08</w:t>
      </w:r>
      <w:r>
        <w:rPr>
          <w:rFonts w:ascii="Times New Roman" w:hAnsi="Times New Roman" w:eastAsia="方正仿宋_GBK" w:cs="方正仿宋_GBK"/>
          <w:color w:val="auto"/>
          <w:sz w:val="32"/>
          <w:szCs w:val="32"/>
          <w:shd w:val="clear" w:color="auto" w:fill="FFFFFF"/>
        </w:rPr>
        <w:t>%，较年初预算数无增减，主要原因是</w:t>
      </w:r>
      <w:r>
        <w:rPr>
          <w:rFonts w:hint="eastAsia" w:ascii="Times New Roman" w:hAnsi="Times New Roman" w:eastAsia="方正仿宋_GBK" w:cs="方正仿宋_GBK"/>
          <w:color w:val="auto"/>
          <w:sz w:val="32"/>
          <w:szCs w:val="32"/>
          <w:shd w:val="clear" w:color="auto" w:fill="FFFFFF"/>
          <w:lang w:val="en-US" w:eastAsia="zh-CN"/>
        </w:rPr>
        <w:t>严格按照年初预算支出经费</w:t>
      </w:r>
      <w:r>
        <w:rPr>
          <w:rFonts w:ascii="Times New Roman" w:hAnsi="Times New Roman" w:eastAsia="方正仿宋_GBK" w:cs="方正仿宋_GBK"/>
          <w:color w:val="auto"/>
          <w:sz w:val="32"/>
          <w:szCs w:val="32"/>
          <w:shd w:val="clear" w:color="auto" w:fill="FFFFFF"/>
        </w:rPr>
        <w:t>。</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（四）一般公共预算财政拨款基本支出决算情况说明</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 </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度一般公共财政拨款基本支出</w:t>
      </w:r>
      <w:r>
        <w:rPr>
          <w:rFonts w:ascii="Times New Roman" w:hAnsi="Times New Roman" w:eastAsia="方正仿宋_GBK" w:cs="方正仿宋_GBK"/>
          <w:color w:val="auto"/>
          <w:sz w:val="32"/>
          <w:szCs w:val="32"/>
        </w:rPr>
        <w:t>102.47</w:t>
      </w:r>
      <w:r>
        <w:rPr>
          <w:rFonts w:ascii="Times New Roman" w:hAnsi="Times New Roman" w:eastAsia="方正仿宋_GBK" w:cs="方正仿宋_GBK"/>
          <w:color w:val="auto"/>
          <w:sz w:val="32"/>
          <w:szCs w:val="32"/>
          <w:shd w:val="clear" w:color="auto" w:fill="FFFFFF"/>
        </w:rPr>
        <w:t>万元。其中：人员经费</w:t>
      </w:r>
      <w:r>
        <w:rPr>
          <w:rFonts w:ascii="Times New Roman" w:hAnsi="Times New Roman" w:eastAsia="方正仿宋_GBK" w:cs="方正仿宋_GBK"/>
          <w:color w:val="auto"/>
          <w:sz w:val="32"/>
          <w:szCs w:val="32"/>
        </w:rPr>
        <w:t>96.93</w:t>
      </w:r>
      <w:r>
        <w:rPr>
          <w:rFonts w:ascii="Times New Roman" w:hAnsi="Times New Roman" w:eastAsia="方正仿宋_GBK" w:cs="方正仿宋_GBK"/>
          <w:color w:val="auto"/>
          <w:sz w:val="32"/>
          <w:szCs w:val="32"/>
          <w:shd w:val="clear" w:color="auto" w:fill="FFFFFF"/>
        </w:rPr>
        <w:t>万元，与2023年度相比，增加96.93万元，增长100.0%，主要原因是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w:t>
      </w:r>
      <w:r>
        <w:rPr>
          <w:rFonts w:ascii="Times New Roman" w:hAnsi="Times New Roman" w:eastAsia="方正仿宋_GBK" w:cs="方正仿宋_GBK"/>
          <w:color w:val="auto"/>
          <w:sz w:val="32"/>
          <w:szCs w:val="32"/>
          <w:shd w:val="clear" w:color="auto" w:fill="FFFFFF"/>
        </w:rPr>
        <w:t>一般公共预算财政拨款支出</w:t>
      </w:r>
      <w:r>
        <w:rPr>
          <w:rFonts w:hint="eastAsia" w:ascii="Times New Roman" w:hAnsi="Times New Roman" w:eastAsia="方正仿宋_GBK" w:cs="方正仿宋_GBK"/>
          <w:color w:val="auto"/>
          <w:sz w:val="32"/>
          <w:szCs w:val="32"/>
          <w:shd w:val="clear" w:color="auto" w:fill="FFFFFF"/>
          <w:lang w:val="en-US" w:eastAsia="zh-CN"/>
        </w:rPr>
        <w:t>为0，因此2024年人员经费</w:t>
      </w:r>
      <w:r>
        <w:rPr>
          <w:rFonts w:ascii="Times New Roman" w:hAnsi="Times New Roman" w:eastAsia="方正仿宋_GBK" w:cs="方正仿宋_GBK"/>
          <w:color w:val="auto"/>
          <w:sz w:val="32"/>
          <w:szCs w:val="32"/>
          <w:shd w:val="clear" w:color="auto" w:fill="FFFFFF"/>
        </w:rPr>
        <w:t>增加</w:t>
      </w:r>
      <w:r>
        <w:rPr>
          <w:rFonts w:hint="eastAsia" w:ascii="Times New Roman" w:hAnsi="Times New Roman" w:eastAsia="方正仿宋_GBK" w:cs="方正仿宋_GBK"/>
          <w:color w:val="auto"/>
          <w:sz w:val="32"/>
          <w:szCs w:val="32"/>
          <w:shd w:val="clear" w:color="auto" w:fill="FFFFFF"/>
          <w:lang w:val="en-US" w:eastAsia="zh-CN"/>
        </w:rPr>
        <w:t>96.93</w:t>
      </w:r>
      <w:r>
        <w:rPr>
          <w:rFonts w:ascii="Times New Roman" w:hAnsi="Times New Roman" w:eastAsia="方正仿宋_GBK" w:cs="方正仿宋_GBK"/>
          <w:color w:val="auto"/>
          <w:sz w:val="32"/>
          <w:szCs w:val="32"/>
          <w:shd w:val="clear" w:color="auto" w:fill="FFFFFF"/>
        </w:rPr>
        <w:t>万元，增长100.0%。人员经费用途主要包括基本工资、津贴补贴、奖金、社会保障缴费</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公用经费</w:t>
      </w:r>
      <w:r>
        <w:rPr>
          <w:rFonts w:ascii="Times New Roman" w:hAnsi="Times New Roman" w:eastAsia="方正仿宋_GBK" w:cs="方正仿宋_GBK"/>
          <w:color w:val="auto"/>
          <w:sz w:val="32"/>
          <w:szCs w:val="32"/>
        </w:rPr>
        <w:t>5.55</w:t>
      </w:r>
      <w:r>
        <w:rPr>
          <w:rFonts w:ascii="Times New Roman" w:hAnsi="Times New Roman" w:eastAsia="方正仿宋_GBK" w:cs="方正仿宋_GBK"/>
          <w:color w:val="auto"/>
          <w:sz w:val="32"/>
          <w:szCs w:val="32"/>
          <w:shd w:val="clear" w:color="auto" w:fill="FFFFFF"/>
        </w:rPr>
        <w:t>万元，与2023年度相比，增加5.55万元，增长100.0%，主要原因是主要原因是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巫溪县社会治安综合治理服务中心为政法委下属二级事业单位，2024年开始独立核算，2023年公用经费为0，因此2024年公用经费</w:t>
      </w:r>
      <w:r>
        <w:rPr>
          <w:rFonts w:ascii="Times New Roman" w:hAnsi="Times New Roman" w:eastAsia="方正仿宋_GBK" w:cs="方正仿宋_GBK"/>
          <w:color w:val="auto"/>
          <w:sz w:val="32"/>
          <w:szCs w:val="32"/>
          <w:shd w:val="clear" w:color="auto" w:fill="FFFFFF"/>
        </w:rPr>
        <w:t>增加</w:t>
      </w:r>
      <w:r>
        <w:rPr>
          <w:rFonts w:hint="eastAsia" w:ascii="Times New Roman" w:hAnsi="Times New Roman" w:eastAsia="方正仿宋_GBK" w:cs="方正仿宋_GBK"/>
          <w:color w:val="auto"/>
          <w:sz w:val="32"/>
          <w:szCs w:val="32"/>
          <w:shd w:val="clear" w:color="auto" w:fill="FFFFFF"/>
          <w:lang w:val="en-US" w:eastAsia="zh-CN"/>
        </w:rPr>
        <w:t>5.55</w:t>
      </w:r>
      <w:r>
        <w:rPr>
          <w:rFonts w:ascii="Times New Roman" w:hAnsi="Times New Roman" w:eastAsia="方正仿宋_GBK" w:cs="方正仿宋_GBK"/>
          <w:color w:val="auto"/>
          <w:sz w:val="32"/>
          <w:szCs w:val="32"/>
          <w:shd w:val="clear" w:color="auto" w:fill="FFFFFF"/>
        </w:rPr>
        <w:t>万元，增长100.0%。公用经费用途主要包括办公费、水电费、差旅费、培训费、维修费、公务用车运行维护费。</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（五）政府性基金预算收支决算情况说明</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度无政府性基金预算财政拨款收支。</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（六）国有资本经营预算财政拨款支出决算情况说明</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度无国有资本经营预算财政拨款支出。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黑体" w:cs="黑体"/>
          <w:color w:val="auto"/>
          <w:sz w:val="32"/>
          <w:szCs w:val="32"/>
          <w:shd w:val="clear" w:color="auto" w:fill="FFFFFF"/>
          <w:lang w:val="en-US" w:eastAsia="zh-CN" w:bidi="ar-SA"/>
        </w:rPr>
      </w:pPr>
      <w:r>
        <w:rPr>
          <w:rStyle w:val="10"/>
          <w:rFonts w:hint="eastAsia" w:ascii="Times New Roman" w:hAnsi="Times New Roman" w:eastAsia="黑体" w:cs="黑体"/>
          <w:color w:val="auto"/>
          <w:sz w:val="32"/>
          <w:szCs w:val="32"/>
          <w:shd w:val="clear" w:color="auto" w:fill="FFFFFF"/>
          <w:lang w:val="en-US" w:eastAsia="zh-CN" w:bidi="ar-SA"/>
        </w:rPr>
        <w:t>三、财政拨款“三公”经费情况说明</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 xml:space="preserve"> （一）“三公”经费支出总体情况说明</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度“三公”经费支出共计</w:t>
      </w:r>
      <w:r>
        <w:rPr>
          <w:rFonts w:ascii="Times New Roman" w:hAnsi="Times New Roman" w:eastAsia="方正仿宋_GBK" w:cs="方正仿宋_GBK"/>
          <w:color w:val="auto"/>
          <w:sz w:val="32"/>
          <w:szCs w:val="32"/>
        </w:rPr>
        <w:t>1.00</w:t>
      </w:r>
      <w:r>
        <w:rPr>
          <w:rFonts w:ascii="Times New Roman" w:hAnsi="Times New Roman" w:eastAsia="方正仿宋_GBK" w:cs="方正仿宋_GBK"/>
          <w:color w:val="auto"/>
          <w:sz w:val="32"/>
          <w:szCs w:val="32"/>
          <w:shd w:val="clear" w:color="auto" w:fill="FFFFFF"/>
        </w:rPr>
        <w:t>万元，较年初预算数无增减，主要原因是</w:t>
      </w:r>
      <w:r>
        <w:rPr>
          <w:rFonts w:hint="eastAsia" w:ascii="Times New Roman" w:hAnsi="Times New Roman" w:eastAsia="方正仿宋_GBK" w:cs="方正仿宋_GBK"/>
          <w:color w:val="auto"/>
          <w:sz w:val="32"/>
          <w:szCs w:val="32"/>
          <w:shd w:val="clear" w:color="auto" w:fill="FFFFFF"/>
          <w:lang w:val="en-US" w:eastAsia="zh-CN"/>
        </w:rPr>
        <w:t>严格按照年初预算数支出费用</w:t>
      </w:r>
      <w:r>
        <w:rPr>
          <w:rFonts w:ascii="Times New Roman" w:hAnsi="Times New Roman" w:eastAsia="方正仿宋_GBK" w:cs="方正仿宋_GBK"/>
          <w:color w:val="auto"/>
          <w:sz w:val="32"/>
          <w:szCs w:val="32"/>
          <w:shd w:val="clear" w:color="auto" w:fill="FFFFFF"/>
        </w:rPr>
        <w:t>。较上年支出数增加1.00万元，增长100.0%，主要原因是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w:t>
      </w:r>
      <w:r>
        <w:rPr>
          <w:rFonts w:ascii="Times New Roman" w:hAnsi="Times New Roman" w:eastAsia="方正仿宋_GBK" w:cs="方正仿宋_GBK"/>
          <w:color w:val="auto"/>
          <w:sz w:val="32"/>
          <w:szCs w:val="32"/>
          <w:shd w:val="clear" w:color="auto" w:fill="FFFFFF"/>
        </w:rPr>
        <w:t>“三公”经费</w:t>
      </w:r>
      <w:r>
        <w:rPr>
          <w:rFonts w:hint="eastAsia" w:ascii="Times New Roman" w:hAnsi="Times New Roman" w:eastAsia="方正仿宋_GBK" w:cs="方正仿宋_GBK"/>
          <w:color w:val="auto"/>
          <w:sz w:val="32"/>
          <w:szCs w:val="32"/>
          <w:shd w:val="clear" w:color="auto" w:fill="FFFFFF"/>
          <w:lang w:val="en-US" w:eastAsia="zh-CN"/>
        </w:rPr>
        <w:t>为0，因此2024年</w:t>
      </w:r>
      <w:r>
        <w:rPr>
          <w:rFonts w:ascii="Times New Roman" w:hAnsi="Times New Roman" w:eastAsia="方正仿宋_GBK" w:cs="方正仿宋_GBK"/>
          <w:color w:val="auto"/>
          <w:sz w:val="32"/>
          <w:szCs w:val="32"/>
          <w:shd w:val="clear" w:color="auto" w:fill="FFFFFF"/>
        </w:rPr>
        <w:t>“三公”经费增加</w:t>
      </w:r>
      <w:r>
        <w:rPr>
          <w:rFonts w:hint="eastAsia" w:ascii="Times New Roman" w:hAnsi="Times New Roman" w:eastAsia="方正仿宋_GBK" w:cs="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万元，增长100.0%。</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（二）“三公”经费分项支出情况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pacing w:before="0" w:beforeAutospacing="0" w:after="0" w:afterAutospacing="0" w:line="594" w:lineRule="exact"/>
        <w:ind w:left="0" w:right="0" w:firstLine="645"/>
        <w:jc w:val="both"/>
        <w:rPr>
          <w:rFonts w:hint="eastAsia" w:ascii="Times New Roman" w:hAnsi="Times New Roman" w:eastAsia="方正仿宋_GBK" w:cs="方正仿宋_GBK"/>
          <w:i w:val="0"/>
          <w:caps w:val="0"/>
          <w:color w:val="auto"/>
          <w:spacing w:val="0"/>
          <w:sz w:val="32"/>
          <w:szCs w:val="32"/>
        </w:rPr>
      </w:pPr>
      <w:r>
        <w:rPr>
          <w:rFonts w:hint="eastAsia" w:ascii="Times New Roman" w:hAnsi="Times New Roman" w:eastAsia="方正仿宋_GBK" w:cs="方正仿宋_GBK"/>
          <w:i w:val="0"/>
          <w:caps w:val="0"/>
          <w:color w:val="auto"/>
          <w:spacing w:val="0"/>
          <w:sz w:val="32"/>
          <w:szCs w:val="32"/>
          <w:shd w:val="clear" w:fill="FFFFFF"/>
        </w:rPr>
        <w:t>本单位202</w:t>
      </w:r>
      <w:r>
        <w:rPr>
          <w:rFonts w:hint="eastAsia" w:ascii="Times New Roman" w:hAnsi="Times New Roman" w:eastAsia="方正仿宋_GBK" w:cs="方正仿宋_GBK"/>
          <w:i w:val="0"/>
          <w:caps w:val="0"/>
          <w:color w:val="auto"/>
          <w:spacing w:val="0"/>
          <w:sz w:val="32"/>
          <w:szCs w:val="32"/>
          <w:shd w:val="clear" w:fill="FFFFFF"/>
          <w:lang w:val="en-US" w:eastAsia="zh-CN"/>
        </w:rPr>
        <w:t>4</w:t>
      </w:r>
      <w:r>
        <w:rPr>
          <w:rFonts w:hint="eastAsia" w:ascii="Times New Roman" w:hAnsi="Times New Roman" w:eastAsia="方正仿宋_GBK" w:cs="方正仿宋_GBK"/>
          <w:i w:val="0"/>
          <w:caps w:val="0"/>
          <w:color w:val="auto"/>
          <w:spacing w:val="0"/>
          <w:sz w:val="32"/>
          <w:szCs w:val="32"/>
          <w:shd w:val="clear" w:fill="FFFFFF"/>
        </w:rPr>
        <w:t>年度未发生因公出国（境）支出。</w:t>
      </w:r>
    </w:p>
    <w:p>
      <w:pPr>
        <w:pStyle w:val="7"/>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i w:val="0"/>
          <w:caps w:val="0"/>
          <w:color w:val="auto"/>
          <w:spacing w:val="0"/>
          <w:sz w:val="32"/>
          <w:szCs w:val="32"/>
          <w:shd w:val="clear" w:fill="FFFFFF"/>
        </w:rPr>
      </w:pPr>
      <w:r>
        <w:rPr>
          <w:rFonts w:hint="eastAsia" w:ascii="Times New Roman" w:hAnsi="Times New Roman" w:eastAsia="方正仿宋_GBK" w:cs="方正仿宋_GBK"/>
          <w:i w:val="0"/>
          <w:caps w:val="0"/>
          <w:color w:val="auto"/>
          <w:spacing w:val="0"/>
          <w:sz w:val="32"/>
          <w:szCs w:val="32"/>
          <w:shd w:val="clear" w:fill="FFFFFF"/>
        </w:rPr>
        <w:t>本单位202</w:t>
      </w:r>
      <w:r>
        <w:rPr>
          <w:rFonts w:hint="eastAsia" w:ascii="Times New Roman" w:hAnsi="Times New Roman" w:eastAsia="方正仿宋_GBK" w:cs="方正仿宋_GBK"/>
          <w:i w:val="0"/>
          <w:caps w:val="0"/>
          <w:color w:val="auto"/>
          <w:spacing w:val="0"/>
          <w:sz w:val="32"/>
          <w:szCs w:val="32"/>
          <w:shd w:val="clear" w:fill="FFFFFF"/>
          <w:lang w:val="en-US" w:eastAsia="zh-CN"/>
        </w:rPr>
        <w:t>4</w:t>
      </w:r>
      <w:r>
        <w:rPr>
          <w:rFonts w:hint="eastAsia" w:ascii="Times New Roman" w:hAnsi="Times New Roman" w:eastAsia="方正仿宋_GBK" w:cs="方正仿宋_GBK"/>
          <w:i w:val="0"/>
          <w:caps w:val="0"/>
          <w:color w:val="auto"/>
          <w:spacing w:val="0"/>
          <w:sz w:val="32"/>
          <w:szCs w:val="32"/>
          <w:shd w:val="clear" w:fill="FFFFFF"/>
        </w:rPr>
        <w:t>年度未发生公务车购置费用支出。</w:t>
      </w:r>
    </w:p>
    <w:p>
      <w:pPr>
        <w:pStyle w:val="7"/>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i w:val="0"/>
          <w:caps w:val="0"/>
          <w:color w:val="auto"/>
          <w:spacing w:val="0"/>
          <w:sz w:val="32"/>
          <w:szCs w:val="32"/>
          <w:shd w:val="clear" w:fill="FFFFFF"/>
        </w:rPr>
        <w:t>本单位202</w:t>
      </w:r>
      <w:r>
        <w:rPr>
          <w:rFonts w:hint="eastAsia" w:ascii="Times New Roman" w:hAnsi="Times New Roman" w:eastAsia="方正仿宋_GBK" w:cs="方正仿宋_GBK"/>
          <w:i w:val="0"/>
          <w:caps w:val="0"/>
          <w:color w:val="auto"/>
          <w:spacing w:val="0"/>
          <w:sz w:val="32"/>
          <w:szCs w:val="32"/>
          <w:shd w:val="clear" w:fill="FFFFFF"/>
          <w:lang w:val="en-US" w:eastAsia="zh-CN"/>
        </w:rPr>
        <w:t>4</w:t>
      </w:r>
      <w:r>
        <w:rPr>
          <w:rFonts w:hint="eastAsia" w:ascii="Times New Roman" w:hAnsi="Times New Roman" w:eastAsia="方正仿宋_GBK" w:cs="方正仿宋_GBK"/>
          <w:i w:val="0"/>
          <w:caps w:val="0"/>
          <w:color w:val="auto"/>
          <w:spacing w:val="0"/>
          <w:sz w:val="32"/>
          <w:szCs w:val="32"/>
          <w:shd w:val="clear" w:fill="FFFFFF"/>
        </w:rPr>
        <w:t>年度未发生</w:t>
      </w:r>
      <w:r>
        <w:rPr>
          <w:rFonts w:ascii="Times New Roman" w:hAnsi="Times New Roman" w:eastAsia="方正仿宋_GBK" w:cs="方正仿宋_GBK"/>
          <w:color w:val="auto"/>
          <w:sz w:val="32"/>
          <w:szCs w:val="32"/>
          <w:shd w:val="clear" w:color="auto" w:fill="FFFFFF"/>
        </w:rPr>
        <w:t>公务车运行维护费</w:t>
      </w:r>
      <w:r>
        <w:rPr>
          <w:rFonts w:hint="eastAsia" w:ascii="Times New Roman" w:hAnsi="Times New Roman" w:eastAsia="方正仿宋_GBK" w:cs="方正仿宋_GBK"/>
          <w:i w:val="0"/>
          <w:caps w:val="0"/>
          <w:color w:val="auto"/>
          <w:spacing w:val="0"/>
          <w:sz w:val="32"/>
          <w:szCs w:val="32"/>
          <w:shd w:val="clear" w:fill="FFFFFF"/>
        </w:rPr>
        <w:t>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ascii="Times New Roman" w:hAnsi="Times New Roman" w:eastAsia="方正仿宋_GBK" w:cs="方正仿宋_GBK"/>
          <w:color w:val="auto"/>
          <w:sz w:val="32"/>
          <w:szCs w:val="32"/>
        </w:rPr>
        <w:t>1.00</w:t>
      </w:r>
      <w:r>
        <w:rPr>
          <w:rFonts w:ascii="Times New Roman" w:hAnsi="Times New Roman" w:eastAsia="方正仿宋_GBK" w:cs="方正仿宋_GBK"/>
          <w:color w:val="auto"/>
          <w:sz w:val="32"/>
          <w:szCs w:val="32"/>
          <w:shd w:val="clear" w:color="auto" w:fill="FFFFFF"/>
        </w:rPr>
        <w:t>万元，主要用于接待</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w:t>
      </w:r>
      <w:r>
        <w:rPr>
          <w:rFonts w:ascii="Times New Roman" w:hAnsi="Times New Roman" w:eastAsia="方正仿宋_GBK" w:cs="方正仿宋_GBK"/>
          <w:color w:val="auto"/>
          <w:sz w:val="32"/>
          <w:szCs w:val="32"/>
          <w:shd w:val="clear" w:color="auto" w:fill="FFFFFF"/>
        </w:rPr>
        <w:t>公务接待费</w:t>
      </w:r>
      <w:r>
        <w:rPr>
          <w:rFonts w:hint="eastAsia" w:ascii="Times New Roman" w:hAnsi="Times New Roman" w:eastAsia="方正仿宋_GBK" w:cs="方正仿宋_GBK"/>
          <w:color w:val="auto"/>
          <w:sz w:val="32"/>
          <w:szCs w:val="32"/>
          <w:shd w:val="clear" w:color="auto" w:fill="FFFFFF"/>
          <w:lang w:val="en-US" w:eastAsia="zh-CN"/>
        </w:rPr>
        <w:t>为0，因此2024年</w:t>
      </w:r>
      <w:r>
        <w:rPr>
          <w:rFonts w:ascii="Times New Roman" w:hAnsi="Times New Roman" w:eastAsia="方正仿宋_GBK" w:cs="方正仿宋_GBK"/>
          <w:color w:val="auto"/>
          <w:sz w:val="32"/>
          <w:szCs w:val="32"/>
          <w:shd w:val="clear" w:color="auto" w:fill="FFFFFF"/>
        </w:rPr>
        <w:t>公务接待费增加</w:t>
      </w:r>
      <w:r>
        <w:rPr>
          <w:rFonts w:hint="eastAsia" w:ascii="Times New Roman" w:hAnsi="Times New Roman" w:eastAsia="方正仿宋_GBK" w:cs="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万元，增长100.0%。费用支出较年初预算数无增减，主要原因是</w:t>
      </w:r>
      <w:r>
        <w:rPr>
          <w:rFonts w:hint="eastAsia" w:ascii="Times New Roman" w:hAnsi="Times New Roman" w:eastAsia="方正仿宋_GBK" w:cs="方正仿宋_GBK"/>
          <w:color w:val="auto"/>
          <w:sz w:val="32"/>
          <w:szCs w:val="32"/>
          <w:shd w:val="clear" w:color="auto" w:fill="FFFFFF"/>
          <w:lang w:val="en-US" w:eastAsia="zh-CN"/>
        </w:rPr>
        <w:t>严格按照年初预算数支出费用</w:t>
      </w:r>
      <w:r>
        <w:rPr>
          <w:rFonts w:ascii="Times New Roman" w:hAnsi="Times New Roman" w:eastAsia="方正仿宋_GBK" w:cs="方正仿宋_GBK"/>
          <w:color w:val="auto"/>
          <w:sz w:val="32"/>
          <w:szCs w:val="32"/>
          <w:shd w:val="clear" w:color="auto" w:fill="FFFFFF"/>
        </w:rPr>
        <w:t>。较上年支出数增加1.00万元，增长100.0%，主要原因是</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巫溪县社会治安综合治理服务中心为政法委下属二级事业单位，2024年开始独立核算，2023年</w:t>
      </w:r>
      <w:r>
        <w:rPr>
          <w:rFonts w:ascii="Times New Roman" w:hAnsi="Times New Roman" w:eastAsia="方正仿宋_GBK" w:cs="方正仿宋_GBK"/>
          <w:color w:val="auto"/>
          <w:sz w:val="32"/>
          <w:szCs w:val="32"/>
          <w:shd w:val="clear" w:color="auto" w:fill="FFFFFF"/>
        </w:rPr>
        <w:t>公务接待费</w:t>
      </w:r>
      <w:r>
        <w:rPr>
          <w:rFonts w:hint="eastAsia" w:ascii="Times New Roman" w:hAnsi="Times New Roman" w:eastAsia="方正仿宋_GBK" w:cs="方正仿宋_GBK"/>
          <w:color w:val="auto"/>
          <w:sz w:val="32"/>
          <w:szCs w:val="32"/>
          <w:shd w:val="clear" w:color="auto" w:fill="FFFFFF"/>
          <w:lang w:val="en-US" w:eastAsia="zh-CN"/>
        </w:rPr>
        <w:t>为0，因此2024年</w:t>
      </w:r>
      <w:r>
        <w:rPr>
          <w:rFonts w:ascii="Times New Roman" w:hAnsi="Times New Roman" w:eastAsia="方正仿宋_GBK" w:cs="方正仿宋_GBK"/>
          <w:color w:val="auto"/>
          <w:sz w:val="32"/>
          <w:szCs w:val="32"/>
          <w:shd w:val="clear" w:color="auto" w:fill="FFFFFF"/>
        </w:rPr>
        <w:t>公务接待费增加</w:t>
      </w:r>
      <w:r>
        <w:rPr>
          <w:rFonts w:hint="eastAsia" w:ascii="Times New Roman" w:hAnsi="Times New Roman" w:eastAsia="方正仿宋_GBK" w:cs="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万元，增长100.0%。</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（三）“三公”经费实物量情况</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 xml:space="preserve">  </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度本单位因公出国（境）共计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个团组，</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人；公务用车购置</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辆，公务车保有量为</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辆；国内公务接待</w:t>
      </w:r>
      <w:r>
        <w:rPr>
          <w:rFonts w:ascii="Times New Roman" w:hAnsi="Times New Roman" w:eastAsia="方正仿宋_GBK" w:cs="方正仿宋_GBK"/>
          <w:color w:val="auto"/>
          <w:sz w:val="32"/>
          <w:szCs w:val="32"/>
        </w:rPr>
        <w:t>30</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120</w:t>
      </w:r>
      <w:r>
        <w:rPr>
          <w:rFonts w:ascii="Times New Roman" w:hAnsi="Times New Roman" w:eastAsia="方正仿宋_GBK" w:cs="方正仿宋_GBK"/>
          <w:color w:val="auto"/>
          <w:sz w:val="32"/>
          <w:szCs w:val="32"/>
          <w:shd w:val="clear" w:color="auto" w:fill="FFFFFF"/>
        </w:rPr>
        <w:t>人，其中：国内外事接待</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人；国（境）外公务接待</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本单位人均接待费</w:t>
      </w:r>
      <w:r>
        <w:rPr>
          <w:rFonts w:ascii="Times New Roman" w:hAnsi="Times New Roman" w:eastAsia="方正仿宋_GBK" w:cs="方正仿宋_GBK"/>
          <w:color w:val="auto"/>
          <w:sz w:val="32"/>
          <w:szCs w:val="32"/>
        </w:rPr>
        <w:t>83.33</w:t>
      </w:r>
      <w:r>
        <w:rPr>
          <w:rFonts w:ascii="Times New Roman" w:hAnsi="Times New Roman" w:eastAsia="方正仿宋_GBK" w:cs="方正仿宋_GBK"/>
          <w:color w:val="auto"/>
          <w:sz w:val="32"/>
          <w:szCs w:val="32"/>
          <w:shd w:val="clear" w:color="auto" w:fill="FFFFFF"/>
        </w:rPr>
        <w:t>元，车均购置费</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万元，车均维护费</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万元。</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黑体" w:cs="黑体"/>
          <w:color w:val="auto"/>
          <w:sz w:val="32"/>
          <w:szCs w:val="32"/>
          <w:shd w:val="clear" w:color="auto" w:fill="FFFFFF"/>
          <w:lang w:val="en-US" w:eastAsia="zh-CN" w:bidi="ar-SA"/>
        </w:rPr>
      </w:pPr>
      <w:r>
        <w:rPr>
          <w:rStyle w:val="10"/>
          <w:rFonts w:hint="eastAsia" w:ascii="Times New Roman" w:hAnsi="Times New Roman" w:eastAsia="黑体" w:cs="黑体"/>
          <w:color w:val="auto"/>
          <w:sz w:val="32"/>
          <w:szCs w:val="32"/>
          <w:shd w:val="clear" w:color="auto" w:fill="FFFFFF"/>
          <w:lang w:val="en-US" w:eastAsia="zh-CN" w:bidi="ar-SA"/>
        </w:rPr>
        <w:t>四、其他需要说明的事项</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万元，与2023年度相比，无增减，主要原因是</w:t>
      </w:r>
      <w:r>
        <w:rPr>
          <w:rFonts w:hint="eastAsia" w:ascii="Times New Roman" w:hAnsi="Times New Roman" w:eastAsia="方正仿宋_GBK" w:cs="方正仿宋_GBK"/>
          <w:color w:val="auto"/>
          <w:sz w:val="32"/>
          <w:szCs w:val="32"/>
          <w:shd w:val="clear" w:color="auto" w:fill="FFFFFF"/>
          <w:lang w:val="en-US" w:eastAsia="zh-CN"/>
        </w:rPr>
        <w:t>我单位为政法委下属二级事业单位，会议费由政法委统一列支，因为我单位2024年度未产生会议费支出</w:t>
      </w:r>
      <w:r>
        <w:rPr>
          <w:rFonts w:ascii="Times New Roman" w:hAnsi="Times New Roman" w:eastAsia="方正仿宋_GBK" w:cs="方正仿宋_GBK"/>
          <w:color w:val="auto"/>
          <w:sz w:val="32"/>
          <w:szCs w:val="32"/>
          <w:shd w:val="clear" w:color="auto" w:fill="FFFFFF"/>
        </w:rPr>
        <w:t>。本年度培训费支出</w:t>
      </w:r>
      <w:r>
        <w:rPr>
          <w:rFonts w:ascii="Times New Roman" w:hAnsi="Times New Roman" w:eastAsia="方正仿宋_GBK" w:cs="方正仿宋_GBK"/>
          <w:color w:val="auto"/>
          <w:sz w:val="32"/>
          <w:szCs w:val="32"/>
        </w:rPr>
        <w:t>0.09</w:t>
      </w:r>
      <w:r>
        <w:rPr>
          <w:rFonts w:ascii="Times New Roman" w:hAnsi="Times New Roman" w:eastAsia="方正仿宋_GBK" w:cs="方正仿宋_GBK"/>
          <w:color w:val="auto"/>
          <w:sz w:val="32"/>
          <w:szCs w:val="32"/>
          <w:shd w:val="clear" w:color="auto" w:fill="FFFFFF"/>
        </w:rPr>
        <w:t>万元，与2023年度相比，增加0.09万元，增长100.0%，主要原因是</w:t>
      </w:r>
      <w:r>
        <w:rPr>
          <w:rFonts w:hint="eastAsia" w:ascii="Times New Roman" w:hAnsi="Times New Roman" w:eastAsia="方正仿宋_GBK" w:cs="方正仿宋_GBK"/>
          <w:color w:val="auto"/>
          <w:sz w:val="32"/>
          <w:szCs w:val="32"/>
          <w:shd w:val="clear" w:color="auto" w:fill="FFFFFF"/>
          <w:lang w:val="en-US" w:eastAsia="zh-CN"/>
        </w:rPr>
        <w:t>2023年底我单位无培训费，因此增加100%</w:t>
      </w:r>
      <w:r>
        <w:rPr>
          <w:rFonts w:ascii="Times New Roman" w:hAnsi="Times New Roman" w:eastAsia="方正仿宋_GBK" w:cs="方正仿宋_GBK"/>
          <w:color w:val="auto"/>
          <w:sz w:val="32"/>
          <w:szCs w:val="32"/>
          <w:shd w:val="clear" w:color="auto" w:fill="FFFFFF"/>
        </w:rPr>
        <w:t>。</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（二）机关运行经费情况说明</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度本单位机关运行经费支出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万元，机关运行经费主要用于开支</w:t>
      </w:r>
      <w:r>
        <w:rPr>
          <w:rFonts w:hint="eastAsia" w:ascii="Times New Roman" w:hAnsi="Times New Roman" w:eastAsia="方正仿宋_GBK" w:cs="方正仿宋_GBK"/>
          <w:color w:val="auto"/>
          <w:sz w:val="32"/>
          <w:szCs w:val="32"/>
          <w:shd w:val="clear" w:color="auto" w:fill="FFFFFF"/>
          <w:lang w:val="en-US" w:eastAsia="zh-CN"/>
        </w:rPr>
        <w:t>我单位是政法委下属二级事业单位，</w:t>
      </w:r>
      <w:r>
        <w:rPr>
          <w:rFonts w:ascii="Times New Roman" w:hAnsi="Times New Roman" w:eastAsia="方正仿宋_GBK" w:cs="方正仿宋_GBK"/>
          <w:color w:val="auto"/>
          <w:sz w:val="32"/>
          <w:szCs w:val="32"/>
          <w:shd w:val="clear" w:color="auto" w:fill="FFFFFF"/>
        </w:rPr>
        <w:t>机关运行经费</w:t>
      </w:r>
      <w:r>
        <w:rPr>
          <w:rFonts w:hint="eastAsia" w:ascii="Times New Roman" w:hAnsi="Times New Roman" w:eastAsia="方正仿宋_GBK" w:cs="方正仿宋_GBK"/>
          <w:color w:val="auto"/>
          <w:sz w:val="32"/>
          <w:szCs w:val="32"/>
          <w:shd w:val="clear" w:color="auto" w:fill="FFFFFF"/>
          <w:lang w:val="en-US" w:eastAsia="zh-CN"/>
        </w:rPr>
        <w:t>由政法委统一列支，因此</w:t>
      </w:r>
      <w:r>
        <w:rPr>
          <w:rFonts w:ascii="Times New Roman" w:hAnsi="Times New Roman" w:eastAsia="方正仿宋_GBK" w:cs="方正仿宋_GBK"/>
          <w:color w:val="auto"/>
          <w:sz w:val="32"/>
          <w:szCs w:val="32"/>
          <w:shd w:val="clear" w:color="auto" w:fill="FFFFFF"/>
        </w:rPr>
        <w:t>本单位机关运行经费支出</w:t>
      </w:r>
      <w:r>
        <w:rPr>
          <w:rFonts w:hint="eastAsia" w:ascii="Times New Roman" w:hAnsi="Times New Roman" w:eastAsia="方正仿宋_GBK" w:cs="方正仿宋_GBK"/>
          <w:color w:val="auto"/>
          <w:sz w:val="32"/>
          <w:szCs w:val="32"/>
          <w:shd w:val="clear" w:color="auto" w:fill="FFFFFF"/>
          <w:lang w:val="en-US" w:eastAsia="zh-CN"/>
        </w:rPr>
        <w:t>为0</w:t>
      </w:r>
      <w:r>
        <w:rPr>
          <w:rFonts w:ascii="Times New Roman" w:hAnsi="Times New Roman" w:eastAsia="方正仿宋_GBK" w:cs="方正仿宋_GBK"/>
          <w:color w:val="auto"/>
          <w:sz w:val="32"/>
          <w:szCs w:val="32"/>
          <w:shd w:val="clear" w:color="auto" w:fill="FFFFFF"/>
        </w:rPr>
        <w:t>。机关运行经费较上年支出数无增减，主要原因是</w:t>
      </w:r>
      <w:r>
        <w:rPr>
          <w:rFonts w:hint="eastAsia" w:ascii="Times New Roman" w:hAnsi="Times New Roman" w:eastAsia="方正仿宋_GBK" w:cs="方正仿宋_GBK"/>
          <w:color w:val="auto"/>
          <w:sz w:val="32"/>
          <w:szCs w:val="32"/>
          <w:shd w:val="clear" w:color="auto" w:fill="FFFFFF"/>
          <w:lang w:val="en-US" w:eastAsia="zh-CN"/>
        </w:rPr>
        <w:t>上年度和本年度均未产生</w:t>
      </w:r>
      <w:r>
        <w:rPr>
          <w:rFonts w:ascii="Times New Roman" w:hAnsi="Times New Roman" w:eastAsia="方正仿宋_GBK" w:cs="方正仿宋_GBK"/>
          <w:color w:val="auto"/>
          <w:sz w:val="32"/>
          <w:szCs w:val="32"/>
          <w:shd w:val="clear" w:color="auto" w:fill="FFFFFF"/>
        </w:rPr>
        <w:t>机关运行经费支出。</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（三）国有资产占用情况说明</w:t>
      </w:r>
    </w:p>
    <w:p>
      <w:pPr>
        <w:pStyle w:val="7"/>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12月31日，本单位共有车辆</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辆，其中，副部（省）级及以上领导用车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辆、主要负责人用车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辆、机要通信用车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辆、应急保障用车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辆、执法执勤用车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辆，特种专业技术用车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辆，离退休干部用车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辆。单价100万元（含）以上专用设备</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台（套）。</w:t>
      </w:r>
    </w:p>
    <w:p>
      <w:pPr>
        <w:pStyle w:val="11"/>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（四）政府采购支出情况说明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eastAsia" w:ascii="Times New Roman" w:hAnsi="Times New Roman" w:eastAsia="黑体" w:cs="黑体"/>
          <w:color w:val="auto"/>
          <w:sz w:val="32"/>
          <w:szCs w:val="32"/>
          <w:shd w:val="clear" w:color="auto" w:fill="FFFFFF"/>
          <w:lang w:val="en-US" w:eastAsia="zh-CN" w:bidi="ar-SA"/>
        </w:rPr>
      </w:pPr>
      <w:r>
        <w:rPr>
          <w:rStyle w:val="10"/>
          <w:rFonts w:hint="eastAsia" w:ascii="Times New Roman" w:hAnsi="Times New Roman" w:eastAsia="黑体" w:cs="黑体"/>
          <w:color w:val="auto"/>
          <w:sz w:val="32"/>
          <w:szCs w:val="32"/>
          <w:shd w:val="clear" w:color="auto" w:fill="FFFFFF"/>
          <w:lang w:val="en-US" w:eastAsia="zh-CN" w:bidi="ar-SA"/>
        </w:rPr>
        <w:t>五、2024年度预算绩效管理情况说明</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楷体" w:cs="楷体"/>
          <w:b/>
          <w:bCs/>
          <w:color w:val="auto"/>
          <w:kern w:val="0"/>
          <w:sz w:val="32"/>
          <w:szCs w:val="32"/>
          <w:shd w:val="clear" w:fill="FFFFFF"/>
          <w:lang w:val="en-US" w:eastAsia="zh-CN"/>
        </w:rPr>
      </w:pPr>
      <w:r>
        <w:rPr>
          <w:rFonts w:hint="eastAsia" w:ascii="Times New Roman" w:hAnsi="Times New Roman" w:eastAsia="方正仿宋_GBK" w:cs="方正仿宋_GBK"/>
          <w:color w:val="auto"/>
          <w:kern w:val="0"/>
          <w:sz w:val="32"/>
          <w:szCs w:val="32"/>
          <w:shd w:val="clear" w:fill="FFFFFF"/>
          <w:lang w:val="en-US" w:eastAsia="zh-CN"/>
        </w:rPr>
        <w:t>我单位本年度无项目</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Times New Roman" w:hAnsi="Times New Roman" w:eastAsia="方正仿宋_GBK" w:cs="方正仿宋_GBK"/>
          <w:color w:val="auto"/>
          <w:kern w:val="0"/>
          <w:sz w:val="32"/>
          <w:szCs w:val="32"/>
        </w:rPr>
      </w:pPr>
      <w:r>
        <w:rPr>
          <w:rStyle w:val="13"/>
          <w:rFonts w:hint="eastAsia" w:ascii="Times New Roman" w:hAnsi="Times New Roman" w:eastAsia="方正仿宋_GBK" w:cs="方正仿宋_GBK"/>
          <w:b/>
          <w:bCs/>
          <w:color w:val="auto"/>
          <w:sz w:val="32"/>
          <w:szCs w:val="32"/>
          <w:shd w:val="clear" w:fill="FFFFFF"/>
        </w:rPr>
        <w:t xml:space="preserve"> </w:t>
      </w:r>
      <w:r>
        <w:rPr>
          <w:rStyle w:val="13"/>
          <w:rFonts w:hint="eastAsia" w:ascii="Times New Roman" w:hAnsi="Times New Roman" w:eastAsia="方正仿宋_GBK" w:cs="方正仿宋_GBK"/>
          <w:b/>
          <w:bCs/>
          <w:color w:val="auto"/>
          <w:sz w:val="32"/>
          <w:szCs w:val="32"/>
          <w:shd w:val="clear" w:fill="FFFFFF"/>
          <w:lang w:val="en-US" w:eastAsia="zh-CN"/>
        </w:rPr>
        <w:t xml:space="preserve">  </w:t>
      </w:r>
      <w:r>
        <w:rPr>
          <w:rStyle w:val="10"/>
          <w:rFonts w:hint="eastAsia" w:ascii="Times New Roman" w:hAnsi="Times New Roman" w:eastAsia="黑体" w:cs="黑体"/>
          <w:color w:val="auto"/>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（一）财政拨款收入：</w:t>
      </w:r>
      <w:r>
        <w:rPr>
          <w:rFonts w:hint="eastAsia" w:ascii="Times New Roman" w:hAnsi="Times New Roman"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（二）事业收入：</w:t>
      </w:r>
      <w:r>
        <w:rPr>
          <w:rFonts w:hint="eastAsia" w:ascii="Times New Roman" w:hAnsi="Times New Roman"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（三）经营收入：</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（四）其他收入：</w:t>
      </w:r>
      <w:r>
        <w:rPr>
          <w:rFonts w:hint="eastAsia" w:ascii="Times New Roman" w:hAnsi="Times New Roman"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（六）年初结转和结余：</w:t>
      </w:r>
      <w:r>
        <w:rPr>
          <w:rFonts w:hint="eastAsia" w:ascii="Times New Roman" w:hAnsi="Times New Roman" w:eastAsia="方正仿宋_GBK" w:cs="方正仿宋_GBK"/>
          <w:color w:val="auto"/>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（七）结余分配：</w:t>
      </w:r>
      <w:r>
        <w:rPr>
          <w:rFonts w:hint="eastAsia" w:ascii="Times New Roman" w:hAnsi="Times New Roman"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（八）年末结转和结余：</w:t>
      </w:r>
      <w:r>
        <w:rPr>
          <w:rFonts w:hint="eastAsia" w:ascii="Times New Roman" w:hAnsi="Times New Roman" w:eastAsia="方正仿宋_GBK" w:cs="方正仿宋_GBK"/>
          <w:color w:val="auto"/>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（九）基本支出：</w:t>
      </w:r>
      <w:r>
        <w:rPr>
          <w:rFonts w:hint="eastAsia" w:ascii="Times New Roman" w:hAnsi="Times New Roman"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（十）项目支出：</w:t>
      </w:r>
      <w:r>
        <w:rPr>
          <w:rFonts w:hint="eastAsia" w:ascii="Times New Roman" w:hAnsi="Times New Roman" w:eastAsia="方正仿宋_GBK" w:cs="方正仿宋_GBK"/>
          <w:color w:val="auto"/>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（十一）经营支出：</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（十二）“三公”经费：</w:t>
      </w:r>
      <w:r>
        <w:rPr>
          <w:rFonts w:hint="eastAsia" w:ascii="Times New Roman" w:hAnsi="Times New Roman"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（十三）机关运行经费：</w:t>
      </w:r>
      <w:r>
        <w:rPr>
          <w:rFonts w:hint="eastAsia" w:ascii="Times New Roman" w:hAnsi="Times New Roman"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color w:val="auto"/>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color w:val="auto"/>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楷体" w:cs="楷体"/>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10"/>
          <w:rFonts w:hint="eastAsia" w:ascii="Times New Roman" w:hAnsi="Times New Roman" w:eastAsia="黑体" w:cs="黑体"/>
          <w:color w:val="auto"/>
          <w:sz w:val="32"/>
          <w:szCs w:val="32"/>
          <w:shd w:val="clear" w:color="auto" w:fill="FFFFFF"/>
          <w:lang w:val="en-US" w:eastAsia="zh-CN" w:bidi="ar-SA"/>
        </w:rPr>
        <w:t>七、决算公开联系方式及信息反馈渠道</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color w:val="auto"/>
          <w:sz w:val="32"/>
          <w:szCs w:val="32"/>
          <w:shd w:val="clear" w:color="auto" w:fill="FFFFFF"/>
        </w:rPr>
        <w:t>本单位决算公开信息反馈和联系方式：023-</w:t>
      </w:r>
      <w:r>
        <w:rPr>
          <w:rFonts w:hint="eastAsia" w:ascii="Times New Roman" w:hAnsi="Times New Roman" w:eastAsia="方正仿宋_GBK" w:cs="方正仿宋_GBK"/>
          <w:color w:val="auto"/>
          <w:sz w:val="32"/>
          <w:szCs w:val="32"/>
          <w:shd w:val="clear" w:color="auto" w:fill="FFFFFF"/>
          <w:lang w:val="en-US" w:eastAsia="zh-CN"/>
        </w:rPr>
        <w:t>51228205</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 xml:space="preserve"> </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3"/>
          <w:rFonts w:hint="eastAsia" w:ascii="Times New Roman" w:hAnsi="Times New Roman" w:eastAsia="方正仿宋_GBK" w:cs="方正仿宋_GBK"/>
          <w:b/>
          <w:bCs/>
          <w:color w:val="auto"/>
          <w:sz w:val="32"/>
          <w:szCs w:val="32"/>
          <w:shd w:val="clear" w:fill="FFFF00"/>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W w:w="19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巫溪县社会治安综合治理服务中心</w:t>
            </w:r>
          </w:p>
        </w:tc>
        <w:tc>
          <w:tcPr>
            <w:tcW w:w="4419"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102.47</w:t>
            </w:r>
          </w:p>
        </w:tc>
      </w:tr>
    </w:tbl>
    <w:p>
      <w:pPr>
        <w:pStyle w:val="11"/>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Times New Roman" w:hAnsi="Times New Roman"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Times New Roman" w:hAnsi="Times New Roman" w:eastAsia="宋体" w:cs="宋体"/>
          <w:color w:val="auto"/>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巫溪县社会治安综合治理服务中心</w:t>
            </w:r>
          </w:p>
        </w:tc>
        <w:tc>
          <w:tcPr>
            <w:tcW w:w="2408" w:type="dxa"/>
            <w:tcBorders>
              <w:top w:val="nil"/>
              <w:left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Arial"/>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02表</w:t>
            </w:r>
          </w:p>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102.47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102.47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2013650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 xml:space="preserve">巫溪县社会治安综合治理服务中心 </w:t>
            </w:r>
          </w:p>
        </w:tc>
        <w:tc>
          <w:tcPr>
            <w:tcW w:w="274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102.47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102.47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2013650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巫溪县社会治安综合治理服务中心</w:t>
            </w:r>
          </w:p>
        </w:tc>
        <w:tc>
          <w:tcPr>
            <w:tcW w:w="287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巫溪县社会治安综合治理服务中心</w:t>
            </w: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102.47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102.47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102.47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102.47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2013650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巫溪县社会治安综合治理服务中心</w:t>
            </w:r>
          </w:p>
        </w:tc>
        <w:tc>
          <w:tcPr>
            <w:tcW w:w="2682"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0.94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0.25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96.93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5.55 </w:t>
            </w:r>
          </w:p>
        </w:tc>
      </w:tr>
    </w:tbl>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巫溪县社会治安综合治理服务中心</w:t>
            </w: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w:t>
            </w:r>
            <w:r>
              <w:rPr>
                <w:rFonts w:hint="eastAsia" w:ascii="Times New Roman" w:hAnsi="Times New Roman" w:cs="宋体"/>
                <w:i w:val="0"/>
                <w:iCs w:val="0"/>
                <w:color w:val="auto"/>
                <w:kern w:val="0"/>
                <w:sz w:val="20"/>
                <w:szCs w:val="20"/>
                <w:u w:val="none"/>
                <w:lang w:val="en-US" w:eastAsia="zh-CN" w:bidi="ar"/>
              </w:rPr>
              <w:t>7</w:t>
            </w:r>
            <w:r>
              <w:rPr>
                <w:rFonts w:hint="eastAsia" w:ascii="Times New Roman" w:hAnsi="Times New Roman"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方正仿宋_GBK" w:hAnsi="方正仿宋_GBK" w:eastAsia="方正仿宋_GBK" w:cs="方正仿宋_GBK"/>
          <w:sz w:val="32"/>
          <w:szCs w:val="32"/>
        </w:rPr>
        <w:t>本年无政府性基金预算财政拨款收入支出，故本表无数据</w:t>
      </w:r>
      <w:r>
        <w:rPr>
          <w:rFonts w:hint="eastAsia" w:ascii="方正仿宋_GBK" w:hAnsi="方正仿宋_GBK" w:eastAsia="方正仿宋_GBK" w:cs="方正仿宋_GBK"/>
          <w:sz w:val="32"/>
          <w:szCs w:val="32"/>
          <w:lang w:eastAsia="zh-CN"/>
        </w:rPr>
        <w:t>。</w:t>
      </w:r>
      <w:r>
        <w:rPr>
          <w:rFonts w:hint="eastAsia" w:ascii="Times New Roman" w:hAnsi="Times New Roman" w:eastAsia="宋体" w:cs="宋体"/>
          <w:color w:val="auto"/>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巫溪县社会治安综合治理服务中心</w:t>
            </w:r>
          </w:p>
        </w:tc>
        <w:tc>
          <w:tcPr>
            <w:tcW w:w="211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方正仿宋_GBK" w:hAnsi="方正仿宋_GBK" w:eastAsia="方正仿宋_GBK" w:cs="方正仿宋_GBK"/>
          <w:sz w:val="32"/>
          <w:szCs w:val="32"/>
        </w:rPr>
        <w:t>本年无国有资本经营预算财政拨款收入支出，故本表无数据</w:t>
      </w:r>
      <w:r>
        <w:rPr>
          <w:rFonts w:hint="eastAsia" w:ascii="方正仿宋_GBK" w:hAnsi="方正仿宋_GBK" w:eastAsia="方正仿宋_GBK" w:cs="方正仿宋_GBK"/>
          <w:sz w:val="32"/>
          <w:szCs w:val="32"/>
          <w:lang w:eastAsia="zh-CN"/>
        </w:rPr>
        <w:t>。</w:t>
      </w:r>
      <w:r>
        <w:rPr>
          <w:rFonts w:hint="eastAsia" w:ascii="Times New Roman" w:hAnsi="Times New Roman" w:eastAsia="宋体" w:cs="宋体"/>
          <w:color w:val="auto"/>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44"/>
                <w:szCs w:val="44"/>
                <w:u w:val="none"/>
              </w:rPr>
            </w:pPr>
            <w:r>
              <w:rPr>
                <w:rFonts w:hint="eastAsia" w:ascii="Times New Roman" w:hAnsi="Times New Roman"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巫溪县社会治安综合治理服务中心</w:t>
            </w:r>
          </w:p>
        </w:tc>
        <w:tc>
          <w:tcPr>
            <w:tcW w:w="428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120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0.09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0.33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auto"/>
                <w:sz w:val="20"/>
                <w:szCs w:val="20"/>
                <w:u w:val="none"/>
              </w:rPr>
            </w:pPr>
          </w:p>
        </w:tc>
      </w:tr>
    </w:tbl>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pPr>
        <w:pStyle w:val="11"/>
        <w:keepNext w:val="0"/>
        <w:keepLines w:val="0"/>
        <w:pageBreakBefore w:val="0"/>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0A5AFF"/>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0C172F"/>
    <w:rsid w:val="242F52D6"/>
    <w:rsid w:val="24B92327"/>
    <w:rsid w:val="2533755C"/>
    <w:rsid w:val="26396DF4"/>
    <w:rsid w:val="270642A6"/>
    <w:rsid w:val="27167136"/>
    <w:rsid w:val="27B23302"/>
    <w:rsid w:val="28F632DD"/>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39235A"/>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2A00D7"/>
    <w:rsid w:val="3B36794F"/>
    <w:rsid w:val="3B544954"/>
    <w:rsid w:val="3BF014AD"/>
    <w:rsid w:val="3C6A5B02"/>
    <w:rsid w:val="3D2757A1"/>
    <w:rsid w:val="3D3D4FC4"/>
    <w:rsid w:val="3DDF3AB1"/>
    <w:rsid w:val="3DE60B7E"/>
    <w:rsid w:val="3E1D0952"/>
    <w:rsid w:val="3E247234"/>
    <w:rsid w:val="3E42660A"/>
    <w:rsid w:val="3E7555B1"/>
    <w:rsid w:val="3EFA5AD5"/>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E16FA9"/>
    <w:rsid w:val="465B470D"/>
    <w:rsid w:val="469D6AD4"/>
    <w:rsid w:val="47674801"/>
    <w:rsid w:val="48225EF7"/>
    <w:rsid w:val="495C4A24"/>
    <w:rsid w:val="4AD70EE7"/>
    <w:rsid w:val="4B7951CB"/>
    <w:rsid w:val="4B7C315C"/>
    <w:rsid w:val="4BAB7F90"/>
    <w:rsid w:val="4D843B00"/>
    <w:rsid w:val="4DAC4ACA"/>
    <w:rsid w:val="4F186D58"/>
    <w:rsid w:val="4FC44E12"/>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BB116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1CE6168"/>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0A24EC"/>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B569E1"/>
    <w:rsid w:val="750837F0"/>
    <w:rsid w:val="764F62AB"/>
    <w:rsid w:val="765C45EC"/>
    <w:rsid w:val="768A7619"/>
    <w:rsid w:val="76E14979"/>
    <w:rsid w:val="77EA362A"/>
    <w:rsid w:val="78265317"/>
    <w:rsid w:val="7875383E"/>
    <w:rsid w:val="78E924F4"/>
    <w:rsid w:val="796D60A4"/>
    <w:rsid w:val="79A031D5"/>
    <w:rsid w:val="7A1525F7"/>
    <w:rsid w:val="7A3E6CB6"/>
    <w:rsid w:val="7A680D2D"/>
    <w:rsid w:val="7B260559"/>
    <w:rsid w:val="7B420052"/>
    <w:rsid w:val="7BD06A28"/>
    <w:rsid w:val="7C1E4CD7"/>
    <w:rsid w:val="7C3A7C0B"/>
    <w:rsid w:val="7C5248E4"/>
    <w:rsid w:val="7C566698"/>
    <w:rsid w:val="7D521F08"/>
    <w:rsid w:val="7ECB329A"/>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2025-09-16T03:25:12Z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9EDAFD8FD9424A54844071572B3E9A06_13</vt:lpwstr>
  </property>
</Properties>
</file>