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atLeast"/>
        <w:jc w:val="center"/>
        <w:rPr>
          <w:rFonts w:ascii="微软雅黑" w:hAnsi="微软雅黑" w:eastAsia="微软雅黑" w:cs="微软雅黑"/>
          <w:color w:val="000000"/>
          <w:sz w:val="27"/>
          <w:szCs w:val="27"/>
        </w:rPr>
      </w:pPr>
      <w:bookmarkStart w:id="0" w:name="_GoBack"/>
      <w:bookmarkEnd w:id="0"/>
      <w:r>
        <w:rPr>
          <w:rFonts w:ascii="方正小标宋_GBK" w:hAnsi="方正小标宋_GBK" w:eastAsia="方正小标宋_GBK" w:cs="方正小标宋_GBK"/>
          <w:color w:val="000000"/>
          <w:sz w:val="43"/>
          <w:szCs w:val="43"/>
        </w:rPr>
        <w:t>中国共产主义青年团巫溪县委员会</w:t>
      </w:r>
      <w:r>
        <w:rPr>
          <w:rFonts w:hint="eastAsia" w:ascii="方正小标宋_GBK" w:hAnsi="方正小标宋_GBK" w:eastAsia="方正小标宋_GBK" w:cs="方正小标宋_GBK"/>
          <w:color w:val="000000"/>
          <w:sz w:val="43"/>
          <w:szCs w:val="43"/>
        </w:rPr>
        <w:t>2023年部门预算情况说明</w:t>
      </w:r>
    </w:p>
    <w:p>
      <w:pPr>
        <w:pStyle w:val="2"/>
        <w:widowControl/>
        <w:spacing w:beforeAutospacing="0" w:afterAutospacing="0" w:line="600" w:lineRule="atLeast"/>
        <w:ind w:firstLine="885"/>
        <w:jc w:val="center"/>
        <w:rPr>
          <w:rFonts w:ascii="微软雅黑" w:hAnsi="微软雅黑" w:eastAsia="微软雅黑" w:cs="微软雅黑"/>
          <w:color w:val="000000"/>
          <w:sz w:val="27"/>
          <w:szCs w:val="27"/>
        </w:rPr>
      </w:pPr>
      <w:r>
        <w:rPr>
          <w:rFonts w:ascii="方正仿宋_GBK" w:hAnsi="方正仿宋_GBK" w:eastAsia="方正仿宋_GBK" w:cs="方正仿宋_GBK"/>
          <w:color w:val="000000"/>
          <w:sz w:val="43"/>
          <w:szCs w:val="43"/>
        </w:rPr>
        <w:t> </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ascii="方正黑体_GBK" w:hAnsi="方正黑体_GBK" w:eastAsia="方正黑体_GBK" w:cs="方正黑体_GBK"/>
          <w:color w:val="000000"/>
          <w:sz w:val="31"/>
          <w:szCs w:val="31"/>
        </w:rPr>
        <w:t>一、</w:t>
      </w:r>
      <w:r>
        <w:rPr>
          <w:rFonts w:hint="eastAsia" w:ascii="方正黑体_GBK" w:hAnsi="方正黑体_GBK" w:eastAsia="方正黑体_GBK" w:cs="方正黑体_GBK"/>
          <w:color w:val="000000"/>
          <w:sz w:val="31"/>
          <w:szCs w:val="31"/>
        </w:rPr>
        <w:t>单位基本情况</w:t>
      </w:r>
    </w:p>
    <w:p>
      <w:pPr>
        <w:pStyle w:val="2"/>
        <w:widowControl/>
        <w:spacing w:beforeAutospacing="0" w:afterAutospacing="0" w:line="600" w:lineRule="atLeast"/>
        <w:ind w:left="-15"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（一）职能职责</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1.领导全县共青团工作。</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2.承担</w:t>
      </w:r>
      <w:r>
        <w:rPr>
          <w:rFonts w:hint="eastAsia" w:ascii="方正仿宋_GBK" w:hAnsi="方正仿宋_GBK" w:eastAsia="方正仿宋_GBK" w:cs="方正仿宋_GBK"/>
          <w:color w:val="000000"/>
          <w:sz w:val="31"/>
          <w:szCs w:val="31"/>
          <w:lang w:eastAsia="zh-CN"/>
        </w:rPr>
        <w:t>县委、县政府</w:t>
      </w:r>
      <w:r>
        <w:rPr>
          <w:rFonts w:hint="eastAsia" w:ascii="方正仿宋_GBK" w:hAnsi="方正仿宋_GBK" w:eastAsia="方正仿宋_GBK" w:cs="方正仿宋_GBK"/>
          <w:color w:val="000000"/>
          <w:sz w:val="31"/>
          <w:szCs w:val="31"/>
        </w:rPr>
        <w:t>和有关方面委托的青少年工作事务，参与民主管理和民主监督。协助、参与、处理社会上与青少年利益相关的工作。</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3.参与全县性青少年法规制度实施、监督等工作，负责未成人保护方面的日常工作。</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4.调查青少年思想动态和青年工作情况，研究青年运动、青少年工作理论、青少年事业发展等工作，为县委、县政府决策提供依据。</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5.负责全县共青团的组织建设，协助党组织管理、选拔和培训共青团干部，指导县青少年校外活动场所的工作。</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6.负责、指导并组织面向全县青少年的思想理论教育、宣传文化活动、培养、选拔、推荐优秀青年。</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7.承担县委、县政府和团市委交办的其他工作。</w:t>
      </w:r>
    </w:p>
    <w:p>
      <w:pPr>
        <w:pStyle w:val="2"/>
        <w:widowControl/>
        <w:spacing w:beforeAutospacing="0" w:afterAutospacing="0" w:line="600" w:lineRule="atLeast"/>
        <w:ind w:left="-15"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（二）单位构成。</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1．机构情况。中国共产主义青年团巫溪县委员会是群团组织，内设机构有：办公室、学少部，下设事业单位有巫溪县青少年活动中心。</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2．人员情况。行政编制5名，</w:t>
      </w:r>
      <w:r>
        <w:rPr>
          <w:rFonts w:hint="eastAsia" w:ascii="方正仿宋_GBK" w:hAnsi="方正仿宋_GBK" w:eastAsia="方正仿宋_GBK" w:cs="方正仿宋_GBK"/>
          <w:color w:val="000000"/>
          <w:sz w:val="31"/>
          <w:szCs w:val="31"/>
          <w:lang w:val="en-US" w:eastAsia="zh-CN"/>
        </w:rPr>
        <w:t>2022年</w:t>
      </w:r>
      <w:r>
        <w:rPr>
          <w:rFonts w:hint="eastAsia" w:ascii="方正仿宋_GBK" w:hAnsi="方正仿宋_GBK" w:eastAsia="方正仿宋_GBK" w:cs="方正仿宋_GBK"/>
          <w:color w:val="000000"/>
          <w:sz w:val="31"/>
          <w:szCs w:val="31"/>
        </w:rPr>
        <w:t>年末行政在职人员2名；下属事业编制5名，</w:t>
      </w:r>
      <w:r>
        <w:rPr>
          <w:rFonts w:hint="eastAsia" w:ascii="方正仿宋_GBK" w:hAnsi="方正仿宋_GBK" w:eastAsia="方正仿宋_GBK" w:cs="方正仿宋_GBK"/>
          <w:color w:val="000000"/>
          <w:sz w:val="31"/>
          <w:szCs w:val="31"/>
          <w:lang w:val="en-US" w:eastAsia="zh-CN"/>
        </w:rPr>
        <w:t>2022年</w:t>
      </w:r>
      <w:r>
        <w:rPr>
          <w:rFonts w:hint="eastAsia" w:ascii="方正仿宋_GBK" w:hAnsi="方正仿宋_GBK" w:eastAsia="方正仿宋_GBK" w:cs="方正仿宋_GBK"/>
          <w:color w:val="000000"/>
          <w:sz w:val="31"/>
          <w:szCs w:val="31"/>
        </w:rPr>
        <w:t>年末事业在职人员</w:t>
      </w:r>
      <w:r>
        <w:rPr>
          <w:rFonts w:hint="eastAsia" w:ascii="方正仿宋_GBK" w:hAnsi="方正仿宋_GBK" w:eastAsia="方正仿宋_GBK" w:cs="方正仿宋_GBK"/>
          <w:color w:val="000000"/>
          <w:sz w:val="31"/>
          <w:szCs w:val="31"/>
          <w:lang w:val="en-US" w:eastAsia="zh-CN"/>
        </w:rPr>
        <w:t>5</w:t>
      </w:r>
      <w:r>
        <w:rPr>
          <w:rFonts w:hint="eastAsia" w:ascii="方正仿宋_GBK" w:hAnsi="方正仿宋_GBK" w:eastAsia="方正仿宋_GBK" w:cs="方正仿宋_GBK"/>
          <w:color w:val="000000"/>
          <w:sz w:val="31"/>
          <w:szCs w:val="31"/>
        </w:rPr>
        <w:t>名，无退休人员。</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二、部门收支总体情况</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（一）收入预算：2023年年初预算数840.25万元，其中：一般公共预算拨款362.25万元，政府性基金预算拨款478万元，国有资本经营预算收入0万元，事业收入0万元，事业单位经营收入0万元，其他收入 0万元。收入较去年增加656.4万元，主要是政府性基金预算拨款增加478万元，基本支出增加32.66万元，项目支出增加145.74万元。</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（二）支出预算：2023年年初预算数 840.25万元，其中：一般公共服务支出335.34万元，社会保障和就业支出13.98万元，卫生健康支出5.25万元，住房保障支出7.67万元。支出较去年增加656.4万元，主要是政府性基金预算拨款增加478万元，基本支出增加32.66万元，项目支出增加145.74万元。</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三、部门预算情况说明</w:t>
      </w:r>
    </w:p>
    <w:p>
      <w:pPr>
        <w:pStyle w:val="2"/>
        <w:widowControl/>
        <w:spacing w:beforeAutospacing="0" w:afterAutospacing="0" w:line="600" w:lineRule="atLeast"/>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2023年一般公共预算财政拨款收入362.25万元，一般公共预算财政拨款支出362.25万元，比2022年增加198.64万元。其中：基本支出134.51万元，比2022年增加32.66万元，主要原因是本单位2022年年底有人员增加，导致人员预算增加；项目支出227.74万元，比2022年增加145.74万元，主要原因是西部计划志愿者人员较上年有所上升，西部计划志愿者社会保险预算增加，主要用于西部计划志愿者社会保险的缴纳，群团事业的发展及未成年人保。</w:t>
      </w:r>
    </w:p>
    <w:p>
      <w:pPr>
        <w:pStyle w:val="2"/>
        <w:widowControl/>
        <w:spacing w:beforeAutospacing="0" w:afterAutospacing="0" w:line="600" w:lineRule="atLeast"/>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2023年政府性基金预算收入478万元，政府性基金预算支出478万元，比2022年增加478万元，主要原因是新增青少年校外教育专项资金的项目。</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四、“三公”经费情况说明</w:t>
      </w:r>
    </w:p>
    <w:p>
      <w:pPr>
        <w:pStyle w:val="2"/>
        <w:widowControl/>
        <w:spacing w:beforeAutospacing="0" w:afterAutospacing="0" w:line="600" w:lineRule="atLeast"/>
        <w:ind w:firstLine="600"/>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2023年“三公”经费预算4万元，比2022年减少0.5万元。其中：因公出国（境）费用0万元，比2022年增加0万元，主要原因是本单位无因公出国公出国（境）人员；公务接待费0万元，比2022年增加0万元，主要原因是2023年响应财政号召，厉行节约，压减支出；公务用车运行维护费4万元，比2022年增加0万元，主要原因是本单位2023年与2022年公车使用的频率相差无几；公务用车购置费0万元，比2022年增加0万元；主要原因是本单位有一台公用车辆，无需购置。</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五、其他重要事项的情况说明</w:t>
      </w:r>
    </w:p>
    <w:p>
      <w:pPr>
        <w:pStyle w:val="2"/>
        <w:widowControl/>
        <w:spacing w:beforeAutospacing="0" w:afterAutospacing="0"/>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1.机关运行经费。2023年一般公共预算财政拨款运行经费107.6万元，比上年增加5.75万元，主要原因是本单位2022年年底有人员调进，导致人员预算增加。</w:t>
      </w:r>
    </w:p>
    <w:p>
      <w:pPr>
        <w:pStyle w:val="2"/>
        <w:widowControl/>
        <w:spacing w:beforeAutospacing="0" w:afterAutospacing="0"/>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widowControl/>
        <w:spacing w:beforeAutospacing="0" w:afterAutospacing="0"/>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3.绩效目标设置情况。2023年项目支出均实行了绩效目标管理，涉及一般公共预算当年财政拨款227.74万元。</w:t>
      </w:r>
    </w:p>
    <w:p>
      <w:pPr>
        <w:pStyle w:val="2"/>
        <w:widowControl/>
        <w:spacing w:beforeAutospacing="0" w:afterAutospacing="0"/>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4.国有资产占有使用情况。截止2022年12月，所属各预算单位共有车辆1辆，其中一般公务用车1辆、执勤执法用车0辆。2023年一般公共预算安排购置车辆0辆，其中一般公务用车0辆、执勤执法用车0辆。</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六、部门预算整体绩效目标编制情况及县级重点专项资金绩效目标编制情况</w:t>
      </w:r>
    </w:p>
    <w:p>
      <w:pPr>
        <w:pStyle w:val="2"/>
        <w:widowControl/>
        <w:spacing w:beforeAutospacing="0" w:afterAutospacing="0" w:line="600" w:lineRule="atLeast"/>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本单位已按要求编制部门预算整体绩效目标表,2023年，本单位县级重点专项资金478万元。2023年，本单位一般公共预算财政拨款收入362.25万元，其中基本支出134.51万元，项目支出227.74万元，全年将按照相关要求开展活动并完成各项绩效目标考核。</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黑体_GBK" w:hAnsi="方正黑体_GBK" w:eastAsia="方正黑体_GBK" w:cs="方正黑体_GBK"/>
          <w:color w:val="000000"/>
          <w:sz w:val="31"/>
          <w:szCs w:val="31"/>
        </w:rPr>
        <w:t>七、专业性名词解释</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以下为常见专业名词解释，部门应根据实际情况进行解释和增减。</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（一）财政拨款收入：指本年度从本级财政部门取得的财政拨款，包括一般公共预算财政拨款和政府性基金预算财政拨款。</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（二）其他收入：指单位取得的除“财政拨款收入”、“事业收入”、“经营收入”等以外的收入。</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（三）基本支出：指为保障机构正常运转、完成日常工作任务而发生的人员经费和公用经费。</w:t>
      </w:r>
    </w:p>
    <w:p>
      <w:pPr>
        <w:pStyle w:val="2"/>
        <w:widowControl/>
        <w:spacing w:beforeAutospacing="0" w:afterAutospacing="0" w:line="600" w:lineRule="atLeast"/>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（四）项目支出：指在基本支出之外为完成特定行政任务和事业发展目标所发生的支出。</w:t>
      </w:r>
    </w:p>
    <w:p>
      <w:pPr>
        <w:pStyle w:val="2"/>
        <w:widowControl/>
        <w:spacing w:beforeAutospacing="0" w:afterAutospacing="0" w:line="600" w:lineRule="atLeast"/>
        <w:ind w:firstLine="645"/>
        <w:rPr>
          <w:rFonts w:ascii="微软雅黑" w:hAnsi="微软雅黑" w:eastAsia="微软雅黑" w:cs="微软雅黑"/>
          <w:color w:val="000000"/>
          <w:sz w:val="31"/>
          <w:szCs w:val="31"/>
        </w:rPr>
      </w:pPr>
      <w:r>
        <w:rPr>
          <w:rFonts w:hint="eastAsia" w:ascii="方正仿宋_GBK" w:hAnsi="方正仿宋_GBK" w:eastAsia="方正仿宋_GBK" w:cs="方正仿宋_GBK"/>
          <w:color w:val="000000"/>
          <w:sz w:val="31"/>
          <w:szCs w:val="3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widowControl/>
        <w:spacing w:beforeAutospacing="0" w:afterAutospacing="0"/>
        <w:ind w:firstLine="645"/>
        <w:rPr>
          <w:rFonts w:ascii="微软雅黑" w:hAnsi="微软雅黑" w:eastAsia="微软雅黑" w:cs="微软雅黑"/>
          <w:color w:val="000000"/>
          <w:sz w:val="27"/>
          <w:szCs w:val="27"/>
        </w:rPr>
      </w:pPr>
      <w:r>
        <w:rPr>
          <w:rFonts w:hint="eastAsia" w:ascii="方正仿宋_GBK" w:hAnsi="方正仿宋_GBK" w:eastAsia="方正仿宋_GBK" w:cs="方正仿宋_GBK"/>
          <w:color w:val="000000"/>
          <w:sz w:val="31"/>
          <w:szCs w:val="31"/>
        </w:rPr>
        <w:t>部门预算公开联系人：李红林 联系方式：51522079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 w:name="KSO_WPS_MARK_KEY" w:val="589bb46e-d0ca-4532-b60c-d1ae27c858d1"/>
  </w:docVars>
  <w:rsids>
    <w:rsidRoot w:val="003C05AF"/>
    <w:rsid w:val="003C05AF"/>
    <w:rsid w:val="00803900"/>
    <w:rsid w:val="02242A32"/>
    <w:rsid w:val="0ECC09CD"/>
    <w:rsid w:val="2CD26D4B"/>
    <w:rsid w:val="35255F13"/>
    <w:rsid w:val="65D15B74"/>
    <w:rsid w:val="6FE83523"/>
    <w:rsid w:val="75D2523D"/>
    <w:rsid w:val="797E6471"/>
    <w:rsid w:val="7E8F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2082</Words>
  <Characters>2313</Characters>
  <Lines>16</Lines>
  <Paragraphs>4</Paragraphs>
  <TotalTime>10</TotalTime>
  <ScaleCrop>false</ScaleCrop>
  <LinksUpToDate>false</LinksUpToDate>
  <CharactersWithSpaces>2315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2023-01-13T09:12:00Z</dcterms:created>
  <dc:creator>Administrator</dc:creator>
  <cp:lastModifiedBy>温星星</cp:lastModifiedBy>
  <dcterms:modified xsi:type="dcterms:W3CDTF">2023-10-19T01:04:29Z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AAB63A41F66E4F70B068EB387ADC2E57</vt:lpwstr>
  </property>
</Properties>
</file>