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62"/>
        <w:gridCol w:w="1362"/>
        <w:gridCol w:w="1362"/>
        <w:gridCol w:w="1362"/>
        <w:gridCol w:w="1362"/>
        <w:gridCol w:w="1362"/>
        <w:gridCol w:w="1816"/>
        <w:gridCol w:w="181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巫溪县机关事务中心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公务接待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完成全县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公务接待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巫溪县政府办公室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何丽花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13452708970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81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县机关事务中心负责承担全县重要政务接待及相关公务接待，全年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完成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公务接待625批次；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开展政务公务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接待培训批次2次。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完成公务接待批次数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开展政务公务接待培训次数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政务接待对象满意度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949"/>
    <w:rsid w:val="1C0C59F1"/>
    <w:rsid w:val="364A249C"/>
    <w:rsid w:val="368F3A80"/>
    <w:rsid w:val="433000A8"/>
    <w:rsid w:val="46C93061"/>
    <w:rsid w:val="47D816C8"/>
    <w:rsid w:val="51840FBC"/>
    <w:rsid w:val="562A3949"/>
    <w:rsid w:val="66410532"/>
    <w:rsid w:val="6E1B3F86"/>
    <w:rsid w:val="75093403"/>
    <w:rsid w:val="7A8F1077"/>
    <w:rsid w:val="7B0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1006</Characters>
  <Lines>0</Lines>
  <Paragraphs>0</Paragraphs>
  <TotalTime>8</TotalTime>
  <ScaleCrop>false</ScaleCrop>
  <LinksUpToDate>false</LinksUpToDate>
  <CharactersWithSpaces>1008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Administrator</cp:lastModifiedBy>
  <cp:lastPrinted>2021-12-24T08:29:56Z</cp:lastPrinted>
  <dcterms:modified xsi:type="dcterms:W3CDTF">2021-12-24T08:33:20Z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DD8DF1083AAB4DF1A21055646C45B8FD</vt:lpwstr>
  </property>
</Properties>
</file>