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eastAsia="方正小标宋_GBK" w:cs="Times New Roman"/>
          <w:b w:val="0"/>
          <w:bCs w:val="0"/>
          <w:sz w:val="44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32"/>
          <w:lang w:val="en-US" w:eastAsia="zh-CN"/>
        </w:rPr>
        <w:t>县生态环境局：《巫溪县“三线一单”生态环境分区管控调整方案（2023年）》</w:t>
      </w:r>
      <w:r>
        <w:rPr>
          <w:rFonts w:hint="eastAsia" w:eastAsia="方正小标宋_GBK" w:cs="Times New Roman"/>
          <w:b w:val="0"/>
          <w:bCs w:val="0"/>
          <w:sz w:val="44"/>
          <w:szCs w:val="32"/>
          <w:lang w:val="en-US" w:eastAsia="zh-CN"/>
        </w:rPr>
        <w:t>新闻通稿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实施“三线一单”生态环境分区管控制度是新时代贯彻落实习近平生态文明思想、深入打好污染防治攻坚战、加强生态环境源头防控和建设美丽巫溪的重要举措。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着我县经济社会发展和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生态环境保护工作的不断深入，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的《“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巫溪县三线一单”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方案》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已不能完全适应我县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绿色高质量发展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工作需要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7月19日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巫溪县人民政府印发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</w:rPr>
        <w:t>《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巫溪县“三线一单”生态环境分区管控调整方案（2023年）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</w:rPr>
        <w:t>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（以下简称《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调整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《调整方案》明确，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巫溪县“三线一单”生态环境分区管控，全县环境管控单元由19个调整为17个，总体格局保持稳定。主要内容有5个方面：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一是优先保护单元。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由13个减少为10个，面积由2291.45平方公里调整为2349.58平方公里，增加58.13平方公里，占比58.4%。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二是重点管控单元。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由3个增加为4个，面积由66.08平方公里调整为21.24平方公里，减少44.84平方公里，占比0.5%。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三是一般管控单元。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3个保持不变，面积由1663.32平方公里调整为1650.03平方公里，减少了13.23平方公里，占比41.1%。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四是全县总体管控要求。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全县总体管控要求由14条调整为11条，在原总体管控要求基础上删除12条，保留并修改2条、新增9条。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五是生态环境准入清单。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由“市级总体管控要求—区县总体管控要求—单元管控要求”三个层级框架组成，坚持目标和问题导向，以区域生态环境质量改善目标为核心，统筹考虑生态保护红线、环境质量底线、资源利用上线的管控要求，提出的空间布局、污染物排放、环境风险、资源开发利用等方面禁止和限制的环境准入要求。准入清单主要突出秦巴山区、三峡库区生态涵养和生物多样性保护，强化水土流失和农业农村污染治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自《调整方案》印发之日起，</w:t>
      </w:r>
      <w:r>
        <w:rPr>
          <w:rFonts w:hint="eastAsia"/>
          <w:lang w:val="en-US" w:eastAsia="zh-CN"/>
        </w:rPr>
        <w:t>生态环境分区管控成果充分应用在治水、治气、治土、治废、治塑、治山、治岸、治城、治乡等环境管理中，应用在服务国家和巫溪县重大发展战略实施方面，发挥生态环境分区管控的底线约束和决策支持作用，推动在政策制定、规划编制、产业布局、工业园区管理、用地审批、项目建设、招商引资等的应用，保障巫溪县经济社会绿色低碳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GM5NjI2N2VkM2JlNzhiNjgzOGIxNThlYTM2ZjQifQ=="/>
  </w:docVars>
  <w:rsids>
    <w:rsidRoot w:val="5EDE471E"/>
    <w:rsid w:val="4CD7326A"/>
    <w:rsid w:val="54600F9E"/>
    <w:rsid w:val="5EDE471E"/>
    <w:rsid w:val="65FA2800"/>
    <w:rsid w:val="6E5EC2E9"/>
    <w:rsid w:val="77DF7F21"/>
    <w:rsid w:val="7E3F7936"/>
    <w:rsid w:val="7F111AC1"/>
    <w:rsid w:val="DDFFF4FD"/>
    <w:rsid w:val="DEB6F95F"/>
    <w:rsid w:val="FFEED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99"/>
    <w:pPr>
      <w:widowControl w:val="0"/>
      <w:jc w:val="center"/>
    </w:pPr>
    <w:rPr>
      <w:rFonts w:ascii="Times New Roman" w:hAnsi="Times New Roman" w:cs="Times New Roman"/>
      <w:kern w:val="2"/>
      <w:sz w:val="32"/>
      <w:szCs w:val="20"/>
    </w:rPr>
  </w:style>
  <w:style w:type="paragraph" w:customStyle="1" w:styleId="6">
    <w:name w:val="公文"/>
    <w:basedOn w:val="1"/>
    <w:qFormat/>
    <w:uiPriority w:val="0"/>
    <w:pPr>
      <w:tabs>
        <w:tab w:val="left" w:pos="1147"/>
      </w:tabs>
      <w:spacing w:line="560" w:lineRule="exact"/>
      <w:ind w:firstLine="640" w:firstLineChars="200"/>
      <w:jc w:val="left"/>
    </w:pPr>
    <w:rPr>
      <w:rFonts w:ascii="Times New Roman" w:hAnsi="Times New Roman" w:eastAsia="方正仿宋_GBK" w:cs="Times New Roman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2023-11-30T09:31:00Z</dcterms:created>
  <dc:creator>愤怒的灰灰</dc:creator>
  <cp:lastModifiedBy>Administrator</cp:lastModifiedBy>
  <dcterms:modified xsi:type="dcterms:W3CDTF">2024-08-01T09:45:01Z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F58122822B8144668264375B8F05E5D5_11</vt:lpwstr>
  </property>
</Properties>
</file>