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adjustRightInd/>
        <w:snapToGrid/>
        <w:spacing w:line="240" w:lineRule="auto"/>
      </w:pPr>
    </w:p>
    <w:p>
      <w:pPr>
        <w:keepNext w:val="0"/>
        <w:keepLines w:val="0"/>
        <w:pageBreakBefore w:val="0"/>
        <w:wordWrap/>
        <w:topLinePunct w:val="0"/>
        <w:bidi w:val="0"/>
        <w:adjustRightInd/>
        <w:snapToGrid/>
        <w:spacing w:line="240" w:lineRule="auto"/>
      </w:pPr>
    </w:p>
    <w:p>
      <w:pPr>
        <w:keepNext w:val="0"/>
        <w:keepLines w:val="0"/>
        <w:pageBreakBefore w:val="0"/>
        <w:wordWrap/>
        <w:topLinePunct w:val="0"/>
        <w:bidi w:val="0"/>
        <w:adjustRightInd/>
        <w:snapToGrid/>
        <w:spacing w:line="240" w:lineRule="auto"/>
      </w:pPr>
    </w:p>
    <w:p>
      <w:pPr>
        <w:keepNext w:val="0"/>
        <w:keepLines w:val="0"/>
        <w:pageBreakBefore w:val="0"/>
        <w:wordWrap/>
        <w:topLinePunct w:val="0"/>
        <w:bidi w:val="0"/>
        <w:adjustRightInd/>
        <w:snapToGrid/>
        <w:spacing w:line="240" w:lineRule="auto"/>
      </w:pPr>
    </w:p>
    <w:p>
      <w:pPr>
        <w:keepNext w:val="0"/>
        <w:keepLines w:val="0"/>
        <w:pageBreakBefore w:val="0"/>
        <w:tabs>
          <w:tab w:val="left" w:pos="1264"/>
        </w:tabs>
        <w:wordWrap/>
        <w:topLinePunct w:val="0"/>
        <w:bidi w:val="0"/>
        <w:adjustRightInd/>
        <w:snapToGrid/>
        <w:spacing w:line="240" w:lineRule="auto"/>
        <w:rPr>
          <w:rFonts w:hint="eastAsia"/>
        </w:rPr>
      </w:pPr>
      <w:r>
        <w:tab/>
      </w:r>
    </w:p>
    <w:p>
      <w:pPr>
        <w:keepNext w:val="0"/>
        <w:keepLines w:val="0"/>
        <w:pageBreakBefore w:val="0"/>
        <w:tabs>
          <w:tab w:val="left" w:pos="1264"/>
        </w:tabs>
        <w:wordWrap/>
        <w:topLinePunct w:val="0"/>
        <w:bidi w:val="0"/>
        <w:adjustRightInd/>
        <w:snapToGrid/>
        <w:spacing w:line="240" w:lineRule="auto"/>
        <w:rPr>
          <w:rFonts w:hint="eastAsia"/>
        </w:rPr>
      </w:pPr>
    </w:p>
    <w:p>
      <w:pPr>
        <w:keepNext w:val="0"/>
        <w:keepLines w:val="0"/>
        <w:pageBreakBefore w:val="0"/>
        <w:tabs>
          <w:tab w:val="left" w:pos="1264"/>
        </w:tabs>
        <w:wordWrap/>
        <w:topLinePunct w:val="0"/>
        <w:bidi w:val="0"/>
        <w:adjustRightInd/>
        <w:snapToGrid/>
        <w:spacing w:line="240" w:lineRule="auto"/>
        <w:rPr>
          <w:rFonts w:hint="eastAsia"/>
        </w:rPr>
      </w:pPr>
    </w:p>
    <w:p>
      <w:pPr>
        <w:keepNext w:val="0"/>
        <w:keepLines w:val="0"/>
        <w:pageBreakBefore w:val="0"/>
        <w:widowControl w:val="0"/>
        <w:kinsoku/>
        <w:wordWrap/>
        <w:topLinePunct w:val="0"/>
        <w:autoSpaceDE/>
        <w:autoSpaceDN/>
        <w:bidi w:val="0"/>
        <w:adjustRightInd/>
        <w:snapToGrid/>
        <w:spacing w:line="240" w:lineRule="auto"/>
        <w:ind w:right="0" w:rightChars="0" w:firstLine="632" w:firstLineChars="200"/>
        <w:jc w:val="both"/>
        <w:textAlignment w:val="auto"/>
        <w:rPr>
          <w:rFonts w:hint="eastAsia" w:ascii="Times New Roman" w:hAnsi="Times New Roman" w:eastAsia="方正仿宋_GBK" w:cs="Times New Roman"/>
          <w:snapToGrid/>
          <w:kern w:val="2"/>
          <w:sz w:val="32"/>
          <w:szCs w:val="24"/>
          <w:lang w:eastAsia="zh-CN"/>
        </w:rPr>
      </w:pPr>
    </w:p>
    <w:p>
      <w:pPr>
        <w:keepNext w:val="0"/>
        <w:keepLines w:val="0"/>
        <w:pageBreakBefore w:val="0"/>
        <w:widowControl w:val="0"/>
        <w:kinsoku/>
        <w:wordWrap/>
        <w:overflowPunct/>
        <w:topLinePunct w:val="0"/>
        <w:autoSpaceDE/>
        <w:autoSpaceDN/>
        <w:bidi w:val="0"/>
        <w:adjustRightInd/>
        <w:snapToGrid w:val="0"/>
        <w:spacing w:line="720" w:lineRule="atLeast"/>
        <w:ind w:left="0" w:leftChars="0" w:right="0" w:rightChars="0" w:firstLine="0" w:firstLineChars="0"/>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lang w:eastAsia="zh-CN"/>
        </w:rPr>
        <w:t>巫溪</w:t>
      </w:r>
      <w:r>
        <w:rPr>
          <w:rFonts w:hint="eastAsia" w:ascii="Times New Roman" w:hAnsi="Times New Roman" w:eastAsia="方正小标宋_GBK"/>
          <w:sz w:val="44"/>
          <w:szCs w:val="44"/>
        </w:rPr>
        <w:t>县人民政府办公室</w:t>
      </w:r>
    </w:p>
    <w:p>
      <w:pPr>
        <w:pStyle w:val="3"/>
        <w:keepNext w:val="0"/>
        <w:keepLines w:val="0"/>
        <w:pageBreakBefore w:val="0"/>
        <w:widowControl/>
        <w:kinsoku w:val="0"/>
        <w:wordWrap/>
        <w:overflowPunct/>
        <w:topLinePunct w:val="0"/>
        <w:autoSpaceDE w:val="0"/>
        <w:autoSpaceDN w:val="0"/>
        <w:bidi w:val="0"/>
        <w:adjustRightInd/>
        <w:snapToGrid w:val="0"/>
        <w:spacing w:after="0" w:line="720" w:lineRule="atLeast"/>
        <w:ind w:right="0" w:rightChars="0"/>
        <w:jc w:val="center"/>
        <w:textAlignment w:val="baseline"/>
        <w:rPr>
          <w:rFonts w:hint="eastAsia" w:ascii="Times New Roman" w:hAnsi="Times New Roman" w:eastAsia="方正小标宋_GBK" w:cs="方正小标宋_GBK"/>
          <w:spacing w:val="5"/>
          <w:sz w:val="44"/>
          <w:szCs w:val="44"/>
        </w:rPr>
      </w:pPr>
      <w:r>
        <w:rPr>
          <w:rFonts w:hint="eastAsia" w:ascii="Times New Roman" w:hAnsi="Times New Roman" w:eastAsia="方正小标宋_GBK" w:cs="方正小标宋_GBK"/>
          <w:spacing w:val="5"/>
          <w:sz w:val="44"/>
          <w:szCs w:val="44"/>
        </w:rPr>
        <w:t>关于印发</w:t>
      </w:r>
      <w:r>
        <w:rPr>
          <w:rFonts w:hint="eastAsia" w:ascii="Times New Roman" w:hAnsi="Times New Roman" w:eastAsia="方正小标宋_GBK" w:cs="方正小标宋_GBK"/>
          <w:spacing w:val="5"/>
          <w:sz w:val="44"/>
          <w:szCs w:val="44"/>
          <w:lang w:eastAsia="zh-CN"/>
        </w:rPr>
        <w:t>《</w:t>
      </w:r>
      <w:r>
        <w:rPr>
          <w:rFonts w:hint="eastAsia" w:ascii="Times New Roman" w:hAnsi="Times New Roman" w:eastAsia="方正小标宋_GBK" w:cs="方正小标宋_GBK"/>
          <w:spacing w:val="5"/>
          <w:sz w:val="44"/>
          <w:szCs w:val="44"/>
        </w:rPr>
        <w:t>巫</w:t>
      </w:r>
      <w:r>
        <w:rPr>
          <w:rFonts w:hint="eastAsia" w:ascii="Times New Roman" w:hAnsi="Times New Roman" w:eastAsia="方正小标宋_GBK" w:cs="方正小标宋_GBK"/>
          <w:spacing w:val="5"/>
          <w:sz w:val="44"/>
          <w:szCs w:val="44"/>
          <w:lang w:eastAsia="zh-CN"/>
        </w:rPr>
        <w:t>溪</w:t>
      </w:r>
      <w:r>
        <w:rPr>
          <w:rFonts w:hint="eastAsia" w:ascii="Times New Roman" w:hAnsi="Times New Roman" w:eastAsia="方正小标宋_GBK" w:cs="方正小标宋_GBK"/>
          <w:spacing w:val="5"/>
          <w:sz w:val="44"/>
          <w:szCs w:val="44"/>
        </w:rPr>
        <w:t>县药品和医疗器械安全</w:t>
      </w:r>
    </w:p>
    <w:p>
      <w:pPr>
        <w:pStyle w:val="3"/>
        <w:keepNext w:val="0"/>
        <w:keepLines w:val="0"/>
        <w:pageBreakBefore w:val="0"/>
        <w:widowControl/>
        <w:kinsoku w:val="0"/>
        <w:wordWrap/>
        <w:overflowPunct/>
        <w:topLinePunct w:val="0"/>
        <w:autoSpaceDE w:val="0"/>
        <w:autoSpaceDN w:val="0"/>
        <w:bidi w:val="0"/>
        <w:adjustRightInd/>
        <w:snapToGrid w:val="0"/>
        <w:spacing w:after="0" w:line="720" w:lineRule="atLeast"/>
        <w:ind w:right="0" w:rightChars="0"/>
        <w:jc w:val="center"/>
        <w:textAlignment w:val="baseline"/>
        <w:rPr>
          <w:rFonts w:hint="default" w:ascii="Times New Roman" w:hAnsi="Times New Roman" w:eastAsia="方正仿宋_GBK" w:cs="Times New Roman"/>
          <w:snapToGrid/>
          <w:kern w:val="2"/>
          <w:sz w:val="32"/>
          <w:szCs w:val="24"/>
          <w:lang w:val="en-US" w:eastAsia="zh-CN"/>
        </w:rPr>
      </w:pPr>
      <w:r>
        <w:rPr>
          <w:rFonts w:hint="eastAsia" w:ascii="Times New Roman" w:hAnsi="Times New Roman" w:eastAsia="方正小标宋_GBK" w:cs="方正小标宋_GBK"/>
          <w:spacing w:val="5"/>
          <w:sz w:val="44"/>
          <w:szCs w:val="44"/>
        </w:rPr>
        <w:t>突发事件应急预案</w:t>
      </w:r>
      <w:r>
        <w:rPr>
          <w:rFonts w:hint="eastAsia" w:ascii="Times New Roman" w:hAnsi="Times New Roman" w:eastAsia="方正小标宋_GBK" w:cs="方正小标宋_GBK"/>
          <w:spacing w:val="5"/>
          <w:sz w:val="44"/>
          <w:szCs w:val="44"/>
          <w:lang w:eastAsia="zh-CN"/>
        </w:rPr>
        <w:t>》</w:t>
      </w:r>
      <w:r>
        <w:rPr>
          <w:rFonts w:hint="eastAsia" w:ascii="Times New Roman" w:hAnsi="Times New Roman" w:eastAsia="方正小标宋_GBK" w:cs="方正小标宋_GBK"/>
          <w:spacing w:val="5"/>
          <w:sz w:val="44"/>
          <w:szCs w:val="44"/>
        </w:rPr>
        <w:t>的通知</w:t>
      </w:r>
      <w:bookmarkStart w:id="142" w:name="_GoBack"/>
      <w:bookmarkEnd w:id="142"/>
    </w:p>
    <w:p>
      <w:pPr>
        <w:keepNext w:val="0"/>
        <w:keepLines w:val="0"/>
        <w:pageBreakBefore w:val="0"/>
        <w:widowControl w:val="0"/>
        <w:kinsoku/>
        <w:wordWrap/>
        <w:topLinePunct w:val="0"/>
        <w:autoSpaceDE/>
        <w:autoSpaceDN/>
        <w:bidi w:val="0"/>
        <w:adjustRightInd/>
        <w:snapToGrid/>
        <w:spacing w:line="240" w:lineRule="auto"/>
        <w:ind w:right="0" w:rightChars="0" w:firstLine="632" w:firstLineChars="200"/>
        <w:jc w:val="center"/>
        <w:textAlignment w:val="auto"/>
        <w:rPr>
          <w:rFonts w:hint="default" w:ascii="Times New Roman" w:hAnsi="Times New Roman" w:eastAsia="方正仿宋_GBK" w:cs="Times New Roman"/>
          <w:snapToGrid/>
          <w:kern w:val="2"/>
          <w:sz w:val="32"/>
          <w:szCs w:val="24"/>
          <w:lang w:val="en-US" w:eastAsia="zh-CN"/>
        </w:rPr>
      </w:pPr>
      <w:r>
        <w:rPr>
          <w:rFonts w:hint="default" w:ascii="Times New Roman" w:hAnsi="Times New Roman" w:eastAsia="方正仿宋_GBK" w:cs="Times New Roman"/>
          <w:snapToGrid/>
          <w:kern w:val="2"/>
          <w:sz w:val="32"/>
          <w:szCs w:val="24"/>
          <w:lang w:val="en-US" w:eastAsia="zh-CN"/>
        </w:rPr>
        <w:t>巫溪府办发〔202</w:t>
      </w:r>
      <w:r>
        <w:rPr>
          <w:rFonts w:hint="eastAsia" w:ascii="Times New Roman" w:hAnsi="Times New Roman" w:cs="Times New Roman"/>
          <w:snapToGrid/>
          <w:kern w:val="2"/>
          <w:sz w:val="32"/>
          <w:szCs w:val="24"/>
          <w:lang w:val="en-US" w:eastAsia="zh-CN"/>
        </w:rPr>
        <w:t>5</w:t>
      </w:r>
      <w:r>
        <w:rPr>
          <w:rFonts w:hint="default" w:ascii="Times New Roman" w:hAnsi="Times New Roman" w:eastAsia="方正仿宋_GBK" w:cs="Times New Roman"/>
          <w:snapToGrid/>
          <w:kern w:val="2"/>
          <w:sz w:val="32"/>
          <w:szCs w:val="24"/>
          <w:lang w:val="en-US" w:eastAsia="zh-CN"/>
        </w:rPr>
        <w:t>〕29号</w:t>
      </w:r>
    </w:p>
    <w:p>
      <w:pPr>
        <w:pStyle w:val="2"/>
        <w:rPr>
          <w:rFonts w:hint="eastAsia"/>
        </w:rPr>
      </w:pPr>
    </w:p>
    <w:p>
      <w:pPr>
        <w:pStyle w:val="3"/>
        <w:keepNext w:val="0"/>
        <w:keepLines w:val="0"/>
        <w:pageBreakBefore w:val="0"/>
        <w:widowControl/>
        <w:kinsoku/>
        <w:wordWrap/>
        <w:overflowPunct w:val="0"/>
        <w:topLinePunct w:val="0"/>
        <w:autoSpaceDE w:val="0"/>
        <w:autoSpaceDN w:val="0"/>
        <w:bidi w:val="0"/>
        <w:adjustRightInd/>
        <w:snapToGrid/>
        <w:spacing w:after="0" w:line="240" w:lineRule="auto"/>
        <w:ind w:left="0" w:right="0" w:rightChars="0"/>
        <w:textAlignment w:val="baseline"/>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4"/>
          <w:sz w:val="32"/>
          <w:szCs w:val="32"/>
        </w:rPr>
        <w:t>各乡镇人民政府、街道办事处，县政府各部门</w:t>
      </w:r>
      <w:r>
        <w:rPr>
          <w:rFonts w:hint="eastAsia" w:ascii="Times New Roman" w:hAnsi="Times New Roman" w:eastAsia="方正仿宋_GBK" w:cs="方正仿宋_GBK"/>
          <w:spacing w:val="4"/>
          <w:sz w:val="32"/>
          <w:szCs w:val="32"/>
          <w:lang w:eastAsia="zh-CN"/>
        </w:rPr>
        <w:t>，</w:t>
      </w:r>
      <w:r>
        <w:rPr>
          <w:rFonts w:hint="eastAsia" w:ascii="Times New Roman" w:hAnsi="Times New Roman" w:eastAsia="方正仿宋_GBK" w:cs="方正仿宋_GBK"/>
          <w:spacing w:val="4"/>
          <w:sz w:val="32"/>
          <w:szCs w:val="32"/>
        </w:rPr>
        <w:t>有关单位：</w:t>
      </w:r>
    </w:p>
    <w:p>
      <w:pPr>
        <w:pStyle w:val="3"/>
        <w:keepNext w:val="0"/>
        <w:keepLines w:val="0"/>
        <w:pageBreakBefore w:val="0"/>
        <w:widowControl/>
        <w:kinsoku/>
        <w:wordWrap/>
        <w:overflowPunct w:val="0"/>
        <w:topLinePunct w:val="0"/>
        <w:autoSpaceDE w:val="0"/>
        <w:autoSpaceDN w:val="0"/>
        <w:bidi w:val="0"/>
        <w:adjustRightInd/>
        <w:snapToGrid/>
        <w:spacing w:after="0" w:line="240" w:lineRule="auto"/>
        <w:ind w:left="0" w:right="0" w:rightChars="0" w:firstLine="624"/>
        <w:textAlignment w:val="baseline"/>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pacing w:val="6"/>
          <w:sz w:val="32"/>
          <w:szCs w:val="32"/>
        </w:rPr>
        <w:t>《巫</w:t>
      </w:r>
      <w:r>
        <w:rPr>
          <w:rFonts w:hint="eastAsia" w:ascii="Times New Roman" w:hAnsi="Times New Roman" w:eastAsia="方正仿宋_GBK" w:cs="方正仿宋_GBK"/>
          <w:spacing w:val="6"/>
          <w:sz w:val="32"/>
          <w:szCs w:val="32"/>
          <w:lang w:eastAsia="zh-CN"/>
        </w:rPr>
        <w:t>溪</w:t>
      </w:r>
      <w:r>
        <w:rPr>
          <w:rFonts w:hint="eastAsia" w:ascii="Times New Roman" w:hAnsi="Times New Roman" w:eastAsia="方正仿宋_GBK" w:cs="方正仿宋_GBK"/>
          <w:spacing w:val="6"/>
          <w:sz w:val="32"/>
          <w:szCs w:val="32"/>
        </w:rPr>
        <w:t>县药品和医疗器械安全突发事件应急预案》</w:t>
      </w:r>
      <w:r>
        <w:rPr>
          <w:rFonts w:hint="eastAsia" w:ascii="Times New Roman" w:hAnsi="Times New Roman" w:eastAsia="方正仿宋_GBK" w:cs="方正仿宋_GBK"/>
          <w:spacing w:val="6"/>
          <w:sz w:val="32"/>
          <w:szCs w:val="32"/>
          <w:lang w:val="en-US" w:eastAsia="zh-CN"/>
        </w:rPr>
        <w:t>已经县政府同意，现</w:t>
      </w:r>
      <w:r>
        <w:rPr>
          <w:rFonts w:hint="eastAsia" w:ascii="Times New Roman" w:hAnsi="Times New Roman" w:eastAsia="方正仿宋_GBK" w:cs="方正仿宋_GBK"/>
          <w:spacing w:val="6"/>
          <w:sz w:val="32"/>
          <w:szCs w:val="32"/>
        </w:rPr>
        <w:t>印发</w:t>
      </w:r>
      <w:r>
        <w:rPr>
          <w:rFonts w:hint="eastAsia" w:ascii="Times New Roman" w:hAnsi="Times New Roman" w:eastAsia="方正仿宋_GBK" w:cs="方正仿宋_GBK"/>
          <w:spacing w:val="1"/>
          <w:sz w:val="32"/>
          <w:szCs w:val="32"/>
        </w:rPr>
        <w:t>给你们，请认真贯彻执行</w:t>
      </w:r>
      <w:r>
        <w:rPr>
          <w:rFonts w:hint="eastAsia" w:ascii="Times New Roman" w:hAnsi="Times New Roman" w:eastAsia="方正仿宋_GBK" w:cs="方正仿宋_GBK"/>
          <w:spacing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Times New Roman" w:hAnsi="Times New Roman" w:eastAsia="方正仿宋_GBK" w:cs="方正仿宋_GBK"/>
          <w:snapToGrid/>
          <w:kern w:val="2"/>
          <w:sz w:val="32"/>
          <w:szCs w:val="20"/>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642" w:firstLineChars="1469"/>
        <w:jc w:val="both"/>
        <w:textAlignment w:val="auto"/>
        <w:outlineLvl w:val="9"/>
        <w:rPr>
          <w:rFonts w:hint="eastAsia" w:ascii="Times New Roman" w:hAnsi="Times New Roman" w:eastAsia="方正仿宋_GBK" w:cs="方正仿宋_GBK"/>
          <w:snapToGrid/>
          <w:kern w:val="2"/>
          <w:sz w:val="32"/>
          <w:szCs w:val="32"/>
          <w:lang w:eastAsia="zh-CN"/>
        </w:rPr>
      </w:pPr>
      <w:r>
        <w:rPr>
          <w:rFonts w:hint="eastAsia" w:ascii="Times New Roman" w:hAnsi="Times New Roman" w:eastAsia="方正仿宋_GBK" w:cs="Times New Roman"/>
          <w:snapToGrid/>
          <w:kern w:val="0"/>
          <w:sz w:val="32"/>
          <w:szCs w:val="32"/>
          <w:lang w:eastAsia="zh-CN"/>
        </w:rPr>
        <w:t>巫溪县人民政府办公室</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056" w:firstLineChars="1600"/>
        <w:jc w:val="both"/>
        <w:textAlignment w:val="auto"/>
        <w:rPr>
          <w:rFonts w:hint="default" w:ascii="Times New Roman" w:hAnsi="Times New Roman" w:eastAsia="方正仿宋_GBK" w:cs="Times New Roman"/>
          <w:snapToGrid/>
          <w:kern w:val="2"/>
          <w:sz w:val="32"/>
          <w:szCs w:val="32"/>
          <w:lang w:eastAsia="zh-CN"/>
        </w:rPr>
      </w:pPr>
      <w:r>
        <w:rPr>
          <w:rFonts w:hint="default" w:ascii="Times New Roman" w:hAnsi="Times New Roman" w:eastAsia="方正仿宋_GBK" w:cs="方正仿宋_GBK"/>
          <w:snapToGrid/>
          <w:kern w:val="2"/>
          <w:sz w:val="32"/>
          <w:szCs w:val="32"/>
          <w:lang w:val="en-US" w:eastAsia="zh-CN"/>
        </w:rPr>
        <w:t>202</w:t>
      </w:r>
      <w:r>
        <w:rPr>
          <w:rFonts w:hint="eastAsia" w:ascii="Times New Roman" w:hAnsi="Times New Roman" w:eastAsia="方正仿宋_GBK" w:cs="方正仿宋_GBK"/>
          <w:snapToGrid/>
          <w:kern w:val="2"/>
          <w:sz w:val="32"/>
          <w:szCs w:val="32"/>
          <w:lang w:val="en-US" w:eastAsia="zh-CN"/>
        </w:rPr>
        <w:t>5</w:t>
      </w:r>
      <w:r>
        <w:rPr>
          <w:rFonts w:hint="default" w:ascii="Times New Roman" w:hAnsi="Times New Roman" w:eastAsia="方正仿宋_GBK" w:cs="方正仿宋_GBK"/>
          <w:snapToGrid/>
          <w:kern w:val="2"/>
          <w:sz w:val="32"/>
          <w:szCs w:val="32"/>
          <w:lang w:val="en-US" w:eastAsia="zh-CN"/>
        </w:rPr>
        <w:t>年</w:t>
      </w:r>
      <w:r>
        <w:rPr>
          <w:rFonts w:hint="eastAsia" w:ascii="Times New Roman" w:hAnsi="Times New Roman" w:eastAsia="方正仿宋_GBK" w:cs="方正仿宋_GBK"/>
          <w:snapToGrid/>
          <w:kern w:val="2"/>
          <w:sz w:val="32"/>
          <w:szCs w:val="32"/>
          <w:lang w:val="en-US" w:eastAsia="zh-CN"/>
        </w:rPr>
        <w:t>12</w:t>
      </w:r>
      <w:r>
        <w:rPr>
          <w:rFonts w:hint="default" w:ascii="Times New Roman" w:hAnsi="Times New Roman" w:eastAsia="方正仿宋_GBK" w:cs="方正仿宋_GBK"/>
          <w:snapToGrid/>
          <w:kern w:val="2"/>
          <w:sz w:val="32"/>
          <w:szCs w:val="32"/>
          <w:lang w:val="en-US" w:eastAsia="zh-CN"/>
        </w:rPr>
        <w:t>月8日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16" w:firstLineChars="200"/>
        <w:jc w:val="both"/>
        <w:textAlignment w:val="auto"/>
        <w:outlineLvl w:val="0"/>
        <w:rPr>
          <w:rFonts w:hint="eastAsia" w:ascii="Times New Roman" w:hAnsi="Times New Roman" w:eastAsia="方正仿宋_GBK" w:cs="Times New Roman"/>
          <w:color w:val="000000"/>
          <w:spacing w:val="-4"/>
          <w:kern w:val="44"/>
          <w:sz w:val="32"/>
          <w:szCs w:val="32"/>
          <w:lang w:val="en-US" w:eastAsia="zh-CN" w:bidi="ar-SA"/>
        </w:rPr>
      </w:pPr>
      <w:r>
        <w:rPr>
          <w:rFonts w:hint="eastAsia" w:ascii="Times New Roman" w:hAnsi="Times New Roman" w:eastAsia="方正仿宋_GBK" w:cs="Times New Roman"/>
          <w:color w:val="000000"/>
          <w:spacing w:val="-4"/>
          <w:kern w:val="44"/>
          <w:sz w:val="32"/>
          <w:szCs w:val="32"/>
          <w:lang w:val="en-US" w:eastAsia="zh-CN" w:bidi="ar-SA"/>
        </w:rPr>
        <w:t>（此件公开发布）</w:t>
      </w:r>
    </w:p>
    <w:p>
      <w:pPr>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Times New Roman" w:hAnsi="Times New Roman" w:eastAsia="方正小标宋_GBK" w:cs="方正小标宋_GBK"/>
          <w:sz w:val="44"/>
          <w:szCs w:val="44"/>
          <w:lang w:val="en-US" w:eastAsia="zh-CN"/>
        </w:rPr>
      </w:pPr>
    </w:p>
    <w:p>
      <w:pPr>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Times New Roman" w:hAnsi="Times New Roman" w:eastAsia="方正小标宋_GBK" w:cs="方正小标宋_GBK"/>
          <w:sz w:val="44"/>
          <w:szCs w:val="44"/>
          <w:lang w:val="en-US" w:eastAsia="zh-CN"/>
        </w:rPr>
      </w:pPr>
    </w:p>
    <w:p>
      <w:pPr>
        <w:keepNext w:val="0"/>
        <w:keepLines w:val="0"/>
        <w:pageBreakBefore w:val="0"/>
        <w:widowControl/>
        <w:kinsoku w:val="0"/>
        <w:wordWrap/>
        <w:overflowPunct/>
        <w:topLinePunct w:val="0"/>
        <w:autoSpaceDE w:val="0"/>
        <w:autoSpaceDN w:val="0"/>
        <w:bidi w:val="0"/>
        <w:adjustRightInd/>
        <w:snapToGrid w:val="0"/>
        <w:spacing w:line="800" w:lineRule="atLeast"/>
        <w:jc w:val="center"/>
        <w:textAlignment w:val="baseline"/>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巫溪县药品和医疗器械安全</w:t>
      </w:r>
    </w:p>
    <w:p>
      <w:pPr>
        <w:keepNext w:val="0"/>
        <w:keepLines w:val="0"/>
        <w:pageBreakBefore w:val="0"/>
        <w:widowControl/>
        <w:kinsoku w:val="0"/>
        <w:wordWrap/>
        <w:overflowPunct/>
        <w:topLinePunct w:val="0"/>
        <w:autoSpaceDE w:val="0"/>
        <w:autoSpaceDN w:val="0"/>
        <w:bidi w:val="0"/>
        <w:adjustRightInd/>
        <w:snapToGrid w:val="0"/>
        <w:spacing w:line="800" w:lineRule="atLeast"/>
        <w:jc w:val="center"/>
        <w:textAlignment w:val="baseline"/>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突发事件应急预案</w:t>
      </w:r>
    </w:p>
    <w:p>
      <w:pPr>
        <w:pStyle w:val="3"/>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Times New Roman" w:hAnsi="Times New Roman" w:eastAsia="方正黑体_GBK" w:cs="方正黑体_GBK"/>
          <w:spacing w:val="-26"/>
          <w:sz w:val="56"/>
          <w:szCs w:val="56"/>
        </w:rPr>
      </w:pPr>
    </w:p>
    <w:p>
      <w:pPr>
        <w:pStyle w:val="3"/>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Times New Roman" w:hAnsi="Times New Roman" w:eastAsia="方正黑体_GBK" w:cs="方正黑体_GBK"/>
          <w:spacing w:val="-26"/>
          <w:sz w:val="56"/>
          <w:szCs w:val="56"/>
        </w:rPr>
      </w:pPr>
    </w:p>
    <w:p>
      <w:pPr>
        <w:pStyle w:val="3"/>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Times New Roman" w:hAnsi="Times New Roman" w:eastAsia="方正黑体_GBK" w:cs="方正黑体_GBK"/>
          <w:spacing w:val="-26"/>
          <w:sz w:val="56"/>
          <w:szCs w:val="56"/>
        </w:rPr>
      </w:pPr>
    </w:p>
    <w:p>
      <w:pPr>
        <w:pStyle w:val="3"/>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Times New Roman" w:hAnsi="Times New Roman" w:eastAsia="方正黑体_GBK" w:cs="方正黑体_GBK"/>
          <w:spacing w:val="-26"/>
          <w:sz w:val="56"/>
          <w:szCs w:val="56"/>
        </w:rPr>
      </w:pPr>
    </w:p>
    <w:p>
      <w:pPr>
        <w:pStyle w:val="3"/>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Times New Roman" w:hAnsi="Times New Roman" w:eastAsia="方正黑体_GBK" w:cs="方正黑体_GBK"/>
          <w:spacing w:val="-26"/>
          <w:sz w:val="56"/>
          <w:szCs w:val="56"/>
        </w:rPr>
      </w:pPr>
    </w:p>
    <w:p>
      <w:pPr>
        <w:pStyle w:val="3"/>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Times New Roman" w:hAnsi="Times New Roman" w:eastAsia="方正黑体_GBK" w:cs="方正黑体_GBK"/>
          <w:spacing w:val="-26"/>
          <w:sz w:val="56"/>
          <w:szCs w:val="56"/>
        </w:rPr>
      </w:pPr>
    </w:p>
    <w:p>
      <w:pPr>
        <w:pStyle w:val="3"/>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Times New Roman" w:hAnsi="Times New Roman" w:eastAsia="方正黑体_GBK" w:cs="方正黑体_GBK"/>
          <w:spacing w:val="-26"/>
          <w:sz w:val="56"/>
          <w:szCs w:val="56"/>
        </w:rPr>
      </w:pPr>
    </w:p>
    <w:p>
      <w:pPr>
        <w:pStyle w:val="3"/>
        <w:keepNext w:val="0"/>
        <w:keepLines w:val="0"/>
        <w:pageBreakBefore w:val="0"/>
        <w:widowControl/>
        <w:kinsoku w:val="0"/>
        <w:wordWrap/>
        <w:overflowPunct/>
        <w:topLinePunct w:val="0"/>
        <w:autoSpaceDE w:val="0"/>
        <w:autoSpaceDN w:val="0"/>
        <w:bidi w:val="0"/>
        <w:adjustRightInd/>
        <w:snapToGrid/>
        <w:spacing w:line="240" w:lineRule="auto"/>
        <w:jc w:val="both"/>
        <w:textAlignment w:val="baseline"/>
        <w:rPr>
          <w:rFonts w:hint="eastAsia" w:ascii="Times New Roman" w:hAnsi="Times New Roman" w:eastAsia="方正黑体_GBK" w:cs="方正黑体_GBK"/>
          <w:spacing w:val="-26"/>
          <w:sz w:val="56"/>
          <w:szCs w:val="56"/>
        </w:rPr>
      </w:pPr>
    </w:p>
    <w:p>
      <w:pPr>
        <w:keepNext w:val="0"/>
        <w:keepLines w:val="0"/>
        <w:pageBreakBefore w:val="0"/>
        <w:kinsoku/>
        <w:wordWrap/>
        <w:overflowPunct/>
        <w:topLinePunct w:val="0"/>
        <w:bidi w:val="0"/>
        <w:adjustRightInd/>
        <w:snapToGrid/>
        <w:spacing w:after="0" w:line="240" w:lineRule="auto"/>
        <w:ind w:left="0" w:leftChars="0" w:right="0" w:rightChars="0" w:firstLine="0" w:firstLineChars="0"/>
        <w:jc w:val="center"/>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2025年</w:t>
      </w:r>
      <w:r>
        <w:rPr>
          <w:rFonts w:hint="eastAsia"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lang w:val="zh-CN"/>
        </w:rPr>
        <w:t>月</w:t>
      </w:r>
      <w:bookmarkStart w:id="0" w:name="_Toc9133_WPSOffice_Type2"/>
    </w:p>
    <w:p>
      <w:pPr>
        <w:keepNext w:val="0"/>
        <w:keepLines w:val="0"/>
        <w:pageBreakBefore w:val="0"/>
        <w:kinsoku/>
        <w:wordWrap/>
        <w:overflowPunct/>
        <w:topLinePunct w:val="0"/>
        <w:bidi w:val="0"/>
        <w:adjustRightInd/>
        <w:snapToGrid/>
        <w:spacing w:after="0" w:line="240" w:lineRule="auto"/>
        <w:ind w:left="0" w:leftChars="0" w:right="0" w:rightChars="0" w:firstLine="0" w:firstLineChars="0"/>
        <w:jc w:val="center"/>
        <w:rPr>
          <w:rFonts w:hint="eastAsia" w:ascii="Times New Roman" w:hAnsi="Times New Roman" w:eastAsia="方正小标宋_GBK" w:cs="方正小标宋_GBK"/>
          <w:sz w:val="44"/>
          <w:szCs w:val="44"/>
        </w:rPr>
      </w:pPr>
      <w:r>
        <w:rPr>
          <w:rFonts w:hint="default" w:ascii="Times New Roman" w:hAnsi="Times New Roman" w:eastAsia="方正仿宋_GBK" w:cs="Times New Roman"/>
          <w:color w:val="auto"/>
          <w:sz w:val="32"/>
          <w:szCs w:val="32"/>
          <w:highlight w:val="none"/>
          <w:lang w:val="zh-CN"/>
        </w:rPr>
        <w:br w:type="page"/>
      </w:r>
      <w:r>
        <w:rPr>
          <w:rFonts w:hint="eastAsia" w:ascii="Times New Roman" w:hAnsi="Times New Roman" w:eastAsia="方正小标宋_GBK" w:cs="方正小标宋_GBK"/>
          <w:sz w:val="44"/>
          <w:szCs w:val="44"/>
        </w:rPr>
        <w:t>目</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rPr>
        <w:t>录</w:t>
      </w: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fldChar w:fldCharType="begin"/>
      </w:r>
      <w:r>
        <w:rPr>
          <w:rFonts w:hint="eastAsia" w:ascii="Times New Roman" w:hAnsi="Times New Roman" w:eastAsia="方正黑体_GBK" w:cs="方正黑体_GBK"/>
          <w:b w:val="0"/>
          <w:bCs w:val="0"/>
          <w:sz w:val="32"/>
          <w:szCs w:val="32"/>
        </w:rPr>
        <w:instrText xml:space="preserve"> HYPERLINK \l _Toc26173_WPSOffice_Level1 </w:instrText>
      </w:r>
      <w:r>
        <w:rPr>
          <w:rFonts w:hint="eastAsia" w:ascii="Times New Roman" w:hAnsi="Times New Roman" w:eastAsia="方正黑体_GBK" w:cs="方正黑体_GBK"/>
          <w:b w:val="0"/>
          <w:bCs w:val="0"/>
          <w:sz w:val="32"/>
          <w:szCs w:val="32"/>
        </w:rPr>
        <w:fldChar w:fldCharType="separate"/>
      </w:r>
      <w:r>
        <w:rPr>
          <w:rFonts w:hint="eastAsia" w:ascii="Times New Roman" w:hAnsi="Times New Roman" w:eastAsia="方正黑体_GBK" w:cs="方正黑体_GBK"/>
          <w:b w:val="0"/>
          <w:bCs w:val="0"/>
          <w:sz w:val="32"/>
          <w:szCs w:val="32"/>
        </w:rPr>
        <w:t>1  总则</w:t>
      </w:r>
      <w:r>
        <w:rPr>
          <w:rFonts w:hint="eastAsia" w:ascii="Times New Roman" w:hAnsi="Times New Roman" w:eastAsia="方正黑体_GBK" w:cs="方正黑体_GBK"/>
          <w:b w:val="0"/>
          <w:bCs w:val="0"/>
          <w:sz w:val="32"/>
          <w:szCs w:val="32"/>
        </w:rPr>
        <w:tab/>
      </w:r>
      <w:bookmarkStart w:id="1" w:name="_Toc26173_WPSOffice_Level1Page"/>
      <w:r>
        <w:rPr>
          <w:rFonts w:hint="eastAsia" w:ascii="Times New Roman" w:hAnsi="Times New Roman" w:eastAsia="方正黑体_GBK" w:cs="方正黑体_GBK"/>
          <w:b w:val="0"/>
          <w:bCs w:val="0"/>
          <w:sz w:val="32"/>
          <w:szCs w:val="32"/>
        </w:rPr>
        <w:t>5</w:t>
      </w:r>
      <w:bookmarkEnd w:id="1"/>
      <w:r>
        <w:rPr>
          <w:rFonts w:hint="eastAsia" w:ascii="Times New Roman" w:hAnsi="Times New Roman" w:eastAsia="方正黑体_GBK" w:cs="方正黑体_GBK"/>
          <w:b w:val="0"/>
          <w:bCs w:val="0"/>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_Toc14034_WPSOffice_Level2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1.1  编制目的</w:t>
      </w:r>
      <w:r>
        <w:rPr>
          <w:rFonts w:hint="eastAsia" w:ascii="Times New Roman" w:hAnsi="Times New Roman" w:eastAsia="方正仿宋_GBK" w:cs="方正仿宋_GBK"/>
          <w:sz w:val="32"/>
          <w:szCs w:val="32"/>
        </w:rPr>
        <w:tab/>
      </w:r>
      <w:bookmarkStart w:id="2" w:name="_Toc14034_WPSOffice_Level2Page"/>
      <w:r>
        <w:rPr>
          <w:rFonts w:hint="eastAsia" w:ascii="Times New Roman" w:hAnsi="Times New Roman" w:eastAsia="方正仿宋_GBK" w:cs="方正仿宋_GBK"/>
          <w:sz w:val="32"/>
          <w:szCs w:val="32"/>
        </w:rPr>
        <w:t>5</w:t>
      </w:r>
      <w:bookmarkEnd w:id="2"/>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_Toc21973_WPSOffice_Level2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1.2  编制依据</w:t>
      </w:r>
      <w:r>
        <w:rPr>
          <w:rFonts w:hint="eastAsia" w:ascii="Times New Roman" w:hAnsi="Times New Roman" w:eastAsia="方正仿宋_GBK" w:cs="方正仿宋_GBK"/>
          <w:sz w:val="32"/>
          <w:szCs w:val="32"/>
        </w:rPr>
        <w:tab/>
      </w:r>
      <w:bookmarkStart w:id="3" w:name="_Toc21973_WPSOffice_Level2Page"/>
      <w:r>
        <w:rPr>
          <w:rFonts w:hint="eastAsia" w:ascii="Times New Roman" w:hAnsi="Times New Roman" w:eastAsia="方正仿宋_GBK" w:cs="方正仿宋_GBK"/>
          <w:sz w:val="32"/>
          <w:szCs w:val="32"/>
        </w:rPr>
        <w:t>5</w:t>
      </w:r>
      <w:bookmarkEnd w:id="3"/>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_Toc20790_WPSOffice_Level2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1.3  适用范围</w:t>
      </w:r>
      <w:r>
        <w:rPr>
          <w:rFonts w:hint="eastAsia" w:ascii="Times New Roman" w:hAnsi="Times New Roman" w:eastAsia="方正仿宋_GBK" w:cs="方正仿宋_GBK"/>
          <w:sz w:val="32"/>
          <w:szCs w:val="32"/>
        </w:rPr>
        <w:tab/>
      </w:r>
      <w:bookmarkStart w:id="4" w:name="_Toc20790_WPSOffice_Level2Page"/>
      <w:r>
        <w:rPr>
          <w:rFonts w:hint="eastAsia" w:ascii="Times New Roman" w:hAnsi="Times New Roman" w:eastAsia="方正仿宋_GBK" w:cs="方正仿宋_GBK"/>
          <w:sz w:val="32"/>
          <w:szCs w:val="32"/>
        </w:rPr>
        <w:t>5</w:t>
      </w:r>
      <w:bookmarkEnd w:id="4"/>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_Toc30157_WPSOffice_Level2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1.4  工作原则</w:t>
      </w:r>
      <w:r>
        <w:rPr>
          <w:rFonts w:hint="eastAsia" w:ascii="Times New Roman" w:hAnsi="Times New Roman" w:eastAsia="方正仿宋_GBK" w:cs="方正仿宋_GBK"/>
          <w:sz w:val="32"/>
          <w:szCs w:val="32"/>
        </w:rPr>
        <w:tab/>
      </w:r>
      <w:bookmarkStart w:id="5" w:name="_Toc30157_WPSOffice_Level2Page"/>
      <w:r>
        <w:rPr>
          <w:rFonts w:hint="eastAsia" w:ascii="Times New Roman" w:hAnsi="Times New Roman" w:eastAsia="方正仿宋_GBK" w:cs="方正仿宋_GBK"/>
          <w:sz w:val="32"/>
          <w:szCs w:val="32"/>
        </w:rPr>
        <w:t>6</w:t>
      </w:r>
      <w:bookmarkEnd w:id="5"/>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_Toc9224_WPSOffice_Level2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1.5  突发事件分级</w:t>
      </w:r>
      <w:r>
        <w:rPr>
          <w:rFonts w:hint="eastAsia" w:ascii="Times New Roman" w:hAnsi="Times New Roman" w:eastAsia="方正仿宋_GBK" w:cs="方正仿宋_GBK"/>
          <w:sz w:val="32"/>
          <w:szCs w:val="32"/>
        </w:rPr>
        <w:tab/>
      </w:r>
      <w:bookmarkStart w:id="6" w:name="_Toc9224_WPSOffice_Level2Page"/>
      <w:r>
        <w:rPr>
          <w:rFonts w:hint="eastAsia" w:ascii="Times New Roman" w:hAnsi="Times New Roman" w:eastAsia="方正仿宋_GBK" w:cs="方正仿宋_GBK"/>
          <w:sz w:val="32"/>
          <w:szCs w:val="32"/>
        </w:rPr>
        <w:t>6</w:t>
      </w:r>
      <w:bookmarkEnd w:id="6"/>
      <w:r>
        <w:rPr>
          <w:rFonts w:hint="eastAsia" w:ascii="Times New Roman" w:hAnsi="Times New Roman" w:eastAsia="方正仿宋_GBK" w:cs="方正仿宋_GBK"/>
          <w:sz w:val="32"/>
          <w:szCs w:val="32"/>
        </w:rPr>
        <w:fldChar w:fldCharType="end"/>
      </w: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fldChar w:fldCharType="begin"/>
      </w:r>
      <w:r>
        <w:rPr>
          <w:rFonts w:hint="eastAsia" w:ascii="Times New Roman" w:hAnsi="Times New Roman" w:eastAsia="方正黑体_GBK" w:cs="方正黑体_GBK"/>
          <w:b w:val="0"/>
          <w:bCs w:val="0"/>
          <w:sz w:val="32"/>
          <w:szCs w:val="32"/>
        </w:rPr>
        <w:instrText xml:space="preserve"> HYPERLINK \l _Toc25796_WPSOffice_Level1 </w:instrText>
      </w:r>
      <w:r>
        <w:rPr>
          <w:rFonts w:hint="eastAsia" w:ascii="Times New Roman" w:hAnsi="Times New Roman" w:eastAsia="方正黑体_GBK" w:cs="方正黑体_GBK"/>
          <w:b w:val="0"/>
          <w:bCs w:val="0"/>
          <w:sz w:val="32"/>
          <w:szCs w:val="32"/>
        </w:rPr>
        <w:fldChar w:fldCharType="separate"/>
      </w:r>
      <w:r>
        <w:rPr>
          <w:rFonts w:hint="eastAsia" w:ascii="Times New Roman" w:hAnsi="Times New Roman" w:eastAsia="方正黑体_GBK" w:cs="方正黑体_GBK"/>
          <w:b w:val="0"/>
          <w:bCs w:val="0"/>
          <w:sz w:val="32"/>
          <w:szCs w:val="32"/>
        </w:rPr>
        <w:t>2  组织指挥体系</w:t>
      </w:r>
      <w:r>
        <w:rPr>
          <w:rFonts w:hint="eastAsia" w:ascii="Times New Roman" w:hAnsi="Times New Roman" w:eastAsia="方正黑体_GBK" w:cs="方正黑体_GBK"/>
          <w:b w:val="0"/>
          <w:bCs w:val="0"/>
          <w:sz w:val="32"/>
          <w:szCs w:val="32"/>
        </w:rPr>
        <w:tab/>
      </w:r>
      <w:bookmarkStart w:id="7" w:name="_Toc25796_WPSOffice_Level1Page"/>
      <w:r>
        <w:rPr>
          <w:rFonts w:hint="eastAsia" w:ascii="Times New Roman" w:hAnsi="Times New Roman" w:eastAsia="方正黑体_GBK" w:cs="方正黑体_GBK"/>
          <w:b w:val="0"/>
          <w:bCs w:val="0"/>
          <w:sz w:val="32"/>
          <w:szCs w:val="32"/>
        </w:rPr>
        <w:t>8</w:t>
      </w:r>
      <w:bookmarkEnd w:id="7"/>
      <w:r>
        <w:rPr>
          <w:rFonts w:hint="eastAsia" w:ascii="Times New Roman" w:hAnsi="Times New Roman" w:eastAsia="方正黑体_GBK" w:cs="方正黑体_GBK"/>
          <w:b w:val="0"/>
          <w:bCs w:val="0"/>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_Toc8697_WPSOffice_Level2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2.1  县级层面组织指挥体系</w:t>
      </w:r>
      <w:r>
        <w:rPr>
          <w:rFonts w:hint="eastAsia" w:ascii="Times New Roman" w:hAnsi="Times New Roman" w:eastAsia="方正仿宋_GBK" w:cs="方正仿宋_GBK"/>
          <w:sz w:val="32"/>
          <w:szCs w:val="32"/>
        </w:rPr>
        <w:tab/>
      </w:r>
      <w:bookmarkStart w:id="8" w:name="_Toc8697_WPSOffice_Level2Page"/>
      <w:r>
        <w:rPr>
          <w:rFonts w:hint="eastAsia" w:ascii="Times New Roman" w:hAnsi="Times New Roman" w:eastAsia="方正仿宋_GBK" w:cs="方正仿宋_GBK"/>
          <w:sz w:val="32"/>
          <w:szCs w:val="32"/>
        </w:rPr>
        <w:t>8</w:t>
      </w:r>
      <w:bookmarkEnd w:id="8"/>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_Toc1805_WPSOffice_Level2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2.2  乡镇层面组织指挥体系</w:t>
      </w:r>
      <w:r>
        <w:rPr>
          <w:rFonts w:hint="eastAsia" w:ascii="Times New Roman" w:hAnsi="Times New Roman" w:eastAsia="方正仿宋_GBK" w:cs="方正仿宋_GBK"/>
          <w:sz w:val="32"/>
          <w:szCs w:val="32"/>
        </w:rPr>
        <w:tab/>
      </w:r>
      <w:bookmarkStart w:id="9" w:name="_Toc1805_WPSOffice_Level2Page"/>
      <w:r>
        <w:rPr>
          <w:rFonts w:hint="eastAsia" w:ascii="Times New Roman" w:hAnsi="Times New Roman" w:eastAsia="方正仿宋_GBK" w:cs="方正仿宋_GBK"/>
          <w:sz w:val="32"/>
          <w:szCs w:val="32"/>
        </w:rPr>
        <w:t>9</w:t>
      </w:r>
      <w:bookmarkEnd w:id="9"/>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_Toc28906_WPSOffice_Level2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2.3  专业技术机构</w:t>
      </w:r>
      <w:r>
        <w:rPr>
          <w:rFonts w:hint="eastAsia" w:ascii="Times New Roman" w:hAnsi="Times New Roman" w:eastAsia="方正仿宋_GBK" w:cs="方正仿宋_GBK"/>
          <w:sz w:val="32"/>
          <w:szCs w:val="32"/>
        </w:rPr>
        <w:tab/>
      </w:r>
      <w:bookmarkStart w:id="10" w:name="_Toc28906_WPSOffice_Level2Page"/>
      <w:r>
        <w:rPr>
          <w:rFonts w:hint="eastAsia" w:ascii="Times New Roman" w:hAnsi="Times New Roman" w:eastAsia="方正仿宋_GBK" w:cs="方正仿宋_GBK"/>
          <w:sz w:val="32"/>
          <w:szCs w:val="32"/>
        </w:rPr>
        <w:t>9</w:t>
      </w:r>
      <w:bookmarkEnd w:id="10"/>
      <w:r>
        <w:rPr>
          <w:rFonts w:hint="eastAsia" w:ascii="Times New Roman" w:hAnsi="Times New Roman" w:eastAsia="方正仿宋_GBK" w:cs="方正仿宋_GBK"/>
          <w:sz w:val="32"/>
          <w:szCs w:val="32"/>
        </w:rPr>
        <w:fldChar w:fldCharType="end"/>
      </w: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fldChar w:fldCharType="begin"/>
      </w:r>
      <w:r>
        <w:rPr>
          <w:rFonts w:hint="eastAsia" w:ascii="Times New Roman" w:hAnsi="Times New Roman" w:eastAsia="方正黑体_GBK" w:cs="方正黑体_GBK"/>
          <w:b w:val="0"/>
          <w:bCs w:val="0"/>
          <w:sz w:val="32"/>
          <w:szCs w:val="32"/>
        </w:rPr>
        <w:instrText xml:space="preserve"> HYPERLINK \l _Toc23158_WPSOffice_Level1 </w:instrText>
      </w:r>
      <w:r>
        <w:rPr>
          <w:rFonts w:hint="eastAsia" w:ascii="Times New Roman" w:hAnsi="Times New Roman" w:eastAsia="方正黑体_GBK" w:cs="方正黑体_GBK"/>
          <w:b w:val="0"/>
          <w:bCs w:val="0"/>
          <w:sz w:val="32"/>
          <w:szCs w:val="32"/>
        </w:rPr>
        <w:fldChar w:fldCharType="separate"/>
      </w:r>
      <w:r>
        <w:rPr>
          <w:rFonts w:hint="eastAsia" w:ascii="Times New Roman" w:hAnsi="Times New Roman" w:eastAsia="方正黑体_GBK" w:cs="方正黑体_GBK"/>
          <w:b w:val="0"/>
          <w:bCs w:val="0"/>
          <w:sz w:val="32"/>
          <w:szCs w:val="32"/>
        </w:rPr>
        <w:t>3  监测与预警</w:t>
      </w:r>
      <w:r>
        <w:rPr>
          <w:rFonts w:hint="eastAsia" w:ascii="Times New Roman" w:hAnsi="Times New Roman" w:eastAsia="方正黑体_GBK" w:cs="方正黑体_GBK"/>
          <w:b w:val="0"/>
          <w:bCs w:val="0"/>
          <w:sz w:val="32"/>
          <w:szCs w:val="32"/>
        </w:rPr>
        <w:tab/>
      </w:r>
      <w:bookmarkStart w:id="11" w:name="_Toc23158_WPSOffice_Level1Page"/>
      <w:r>
        <w:rPr>
          <w:rFonts w:hint="eastAsia" w:ascii="Times New Roman" w:hAnsi="Times New Roman" w:eastAsia="方正黑体_GBK" w:cs="方正黑体_GBK"/>
          <w:b w:val="0"/>
          <w:bCs w:val="0"/>
          <w:sz w:val="32"/>
          <w:szCs w:val="32"/>
        </w:rPr>
        <w:t>9</w:t>
      </w:r>
      <w:bookmarkEnd w:id="11"/>
      <w:r>
        <w:rPr>
          <w:rFonts w:hint="eastAsia" w:ascii="Times New Roman" w:hAnsi="Times New Roman" w:eastAsia="方正黑体_GBK" w:cs="方正黑体_GBK"/>
          <w:b w:val="0"/>
          <w:bCs w:val="0"/>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_Toc4378_WPSOffice_Level2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3.1  监测</w:t>
      </w:r>
      <w:r>
        <w:rPr>
          <w:rFonts w:hint="eastAsia" w:ascii="Times New Roman" w:hAnsi="Times New Roman" w:eastAsia="方正仿宋_GBK" w:cs="方正仿宋_GBK"/>
          <w:sz w:val="32"/>
          <w:szCs w:val="32"/>
        </w:rPr>
        <w:tab/>
      </w:r>
      <w:bookmarkStart w:id="12" w:name="_Toc4378_WPSOffice_Level2Page"/>
      <w:r>
        <w:rPr>
          <w:rFonts w:hint="eastAsia" w:ascii="Times New Roman" w:hAnsi="Times New Roman" w:eastAsia="方正仿宋_GBK" w:cs="方正仿宋_GBK"/>
          <w:sz w:val="32"/>
          <w:szCs w:val="32"/>
        </w:rPr>
        <w:t>9</w:t>
      </w:r>
      <w:bookmarkEnd w:id="12"/>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_Toc6469_WPSOffice_Level2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3.2   预警</w:t>
      </w:r>
      <w:r>
        <w:rPr>
          <w:rFonts w:hint="eastAsia" w:ascii="Times New Roman" w:hAnsi="Times New Roman" w:eastAsia="方正仿宋_GBK" w:cs="方正仿宋_GBK"/>
          <w:sz w:val="32"/>
          <w:szCs w:val="32"/>
        </w:rPr>
        <w:tab/>
      </w:r>
      <w:bookmarkStart w:id="13" w:name="_Toc6469_WPSOffice_Level2Page"/>
      <w:r>
        <w:rPr>
          <w:rFonts w:hint="eastAsia" w:ascii="Times New Roman" w:hAnsi="Times New Roman" w:eastAsia="方正仿宋_GBK" w:cs="方正仿宋_GBK"/>
          <w:sz w:val="32"/>
          <w:szCs w:val="32"/>
        </w:rPr>
        <w:t>10</w:t>
      </w:r>
      <w:bookmarkEnd w:id="13"/>
      <w:r>
        <w:rPr>
          <w:rFonts w:hint="eastAsia" w:ascii="Times New Roman" w:hAnsi="Times New Roman" w:eastAsia="方正仿宋_GBK" w:cs="方正仿宋_GBK"/>
          <w:sz w:val="32"/>
          <w:szCs w:val="32"/>
        </w:rPr>
        <w:fldChar w:fldCharType="end"/>
      </w: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fldChar w:fldCharType="begin"/>
      </w:r>
      <w:r>
        <w:rPr>
          <w:rFonts w:hint="eastAsia" w:ascii="Times New Roman" w:hAnsi="Times New Roman" w:eastAsia="方正黑体_GBK" w:cs="方正黑体_GBK"/>
          <w:b w:val="0"/>
          <w:bCs w:val="0"/>
          <w:sz w:val="32"/>
          <w:szCs w:val="32"/>
        </w:rPr>
        <w:instrText xml:space="preserve"> HYPERLINK \l _Toc10930_WPSOffice_Level1 </w:instrText>
      </w:r>
      <w:r>
        <w:rPr>
          <w:rFonts w:hint="eastAsia" w:ascii="Times New Roman" w:hAnsi="Times New Roman" w:eastAsia="方正黑体_GBK" w:cs="方正黑体_GBK"/>
          <w:b w:val="0"/>
          <w:bCs w:val="0"/>
          <w:sz w:val="32"/>
          <w:szCs w:val="32"/>
        </w:rPr>
        <w:fldChar w:fldCharType="separate"/>
      </w:r>
      <w:r>
        <w:rPr>
          <w:rFonts w:hint="eastAsia" w:ascii="Times New Roman" w:hAnsi="Times New Roman" w:eastAsia="方正黑体_GBK" w:cs="方正黑体_GBK"/>
          <w:b w:val="0"/>
          <w:bCs w:val="0"/>
          <w:sz w:val="32"/>
          <w:szCs w:val="32"/>
        </w:rPr>
        <w:t>4  应急处置与救援</w:t>
      </w:r>
      <w:r>
        <w:rPr>
          <w:rFonts w:hint="eastAsia" w:ascii="Times New Roman" w:hAnsi="Times New Roman" w:eastAsia="方正黑体_GBK" w:cs="方正黑体_GBK"/>
          <w:b w:val="0"/>
          <w:bCs w:val="0"/>
          <w:sz w:val="32"/>
          <w:szCs w:val="32"/>
        </w:rPr>
        <w:tab/>
      </w:r>
      <w:bookmarkStart w:id="14" w:name="_Toc10930_WPSOffice_Level1Page"/>
      <w:r>
        <w:rPr>
          <w:rFonts w:hint="eastAsia" w:ascii="Times New Roman" w:hAnsi="Times New Roman" w:eastAsia="方正黑体_GBK" w:cs="方正黑体_GBK"/>
          <w:b w:val="0"/>
          <w:bCs w:val="0"/>
          <w:sz w:val="32"/>
          <w:szCs w:val="32"/>
        </w:rPr>
        <w:t>12</w:t>
      </w:r>
      <w:bookmarkEnd w:id="14"/>
      <w:r>
        <w:rPr>
          <w:rFonts w:hint="eastAsia" w:ascii="Times New Roman" w:hAnsi="Times New Roman" w:eastAsia="方正黑体_GBK" w:cs="方正黑体_GBK"/>
          <w:b w:val="0"/>
          <w:bCs w:val="0"/>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_Toc11790_WPSOffice_Level2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4.1  信息报告</w:t>
      </w:r>
      <w:r>
        <w:rPr>
          <w:rFonts w:hint="eastAsia" w:ascii="Times New Roman" w:hAnsi="Times New Roman" w:eastAsia="方正仿宋_GBK" w:cs="方正仿宋_GBK"/>
          <w:sz w:val="32"/>
          <w:szCs w:val="32"/>
        </w:rPr>
        <w:tab/>
      </w:r>
      <w:bookmarkStart w:id="15" w:name="_Toc11790_WPSOffice_Level2Page"/>
      <w:r>
        <w:rPr>
          <w:rFonts w:hint="eastAsia" w:ascii="Times New Roman" w:hAnsi="Times New Roman" w:eastAsia="方正仿宋_GBK" w:cs="方正仿宋_GBK"/>
          <w:sz w:val="32"/>
          <w:szCs w:val="32"/>
        </w:rPr>
        <w:t>12</w:t>
      </w:r>
      <w:bookmarkEnd w:id="15"/>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_Toc7358_WPSOffice_Level2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4.2  先期处置</w:t>
      </w:r>
      <w:r>
        <w:rPr>
          <w:rFonts w:hint="eastAsia" w:ascii="Times New Roman" w:hAnsi="Times New Roman" w:eastAsia="方正仿宋_GBK" w:cs="方正仿宋_GBK"/>
          <w:sz w:val="32"/>
          <w:szCs w:val="32"/>
        </w:rPr>
        <w:tab/>
      </w:r>
      <w:bookmarkStart w:id="16" w:name="_Toc7358_WPSOffice_Level2Page"/>
      <w:r>
        <w:rPr>
          <w:rFonts w:hint="eastAsia" w:ascii="Times New Roman" w:hAnsi="Times New Roman" w:eastAsia="方正仿宋_GBK" w:cs="方正仿宋_GBK"/>
          <w:sz w:val="32"/>
          <w:szCs w:val="32"/>
        </w:rPr>
        <w:t>14</w:t>
      </w:r>
      <w:bookmarkEnd w:id="16"/>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_Toc18261_WPSOffice_Level2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4.3  分级响应</w:t>
      </w:r>
      <w:r>
        <w:rPr>
          <w:rFonts w:hint="eastAsia" w:ascii="Times New Roman" w:hAnsi="Times New Roman" w:eastAsia="方正仿宋_GBK" w:cs="方正仿宋_GBK"/>
          <w:sz w:val="32"/>
          <w:szCs w:val="32"/>
        </w:rPr>
        <w:tab/>
      </w:r>
      <w:bookmarkStart w:id="17" w:name="_Toc18261_WPSOffice_Level2Page"/>
      <w:r>
        <w:rPr>
          <w:rFonts w:hint="eastAsia" w:ascii="Times New Roman" w:hAnsi="Times New Roman" w:eastAsia="方正仿宋_GBK" w:cs="方正仿宋_GBK"/>
          <w:sz w:val="32"/>
          <w:szCs w:val="32"/>
        </w:rPr>
        <w:t>15</w:t>
      </w:r>
      <w:bookmarkEnd w:id="17"/>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_Toc207_WPSOffice_Level2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4.4  处置措施</w:t>
      </w:r>
      <w:r>
        <w:rPr>
          <w:rFonts w:hint="eastAsia" w:ascii="Times New Roman" w:hAnsi="Times New Roman" w:eastAsia="方正仿宋_GBK" w:cs="方正仿宋_GBK"/>
          <w:sz w:val="32"/>
          <w:szCs w:val="32"/>
        </w:rPr>
        <w:tab/>
      </w:r>
      <w:bookmarkStart w:id="18" w:name="_Toc207_WPSOffice_Level2Page"/>
      <w:r>
        <w:rPr>
          <w:rFonts w:hint="eastAsia" w:ascii="Times New Roman" w:hAnsi="Times New Roman" w:eastAsia="方正仿宋_GBK" w:cs="方正仿宋_GBK"/>
          <w:sz w:val="32"/>
          <w:szCs w:val="32"/>
        </w:rPr>
        <w:t>15</w:t>
      </w:r>
      <w:bookmarkEnd w:id="18"/>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_Toc4371_WPSOffice_Level2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4.5  响应调整</w:t>
      </w:r>
      <w:r>
        <w:rPr>
          <w:rFonts w:hint="eastAsia" w:ascii="Times New Roman" w:hAnsi="Times New Roman" w:eastAsia="方正仿宋_GBK" w:cs="方正仿宋_GBK"/>
          <w:sz w:val="32"/>
          <w:szCs w:val="32"/>
        </w:rPr>
        <w:tab/>
      </w:r>
      <w:bookmarkStart w:id="19" w:name="_Toc4371_WPSOffice_Level2Page"/>
      <w:r>
        <w:rPr>
          <w:rFonts w:hint="eastAsia" w:ascii="Times New Roman" w:hAnsi="Times New Roman" w:eastAsia="方正仿宋_GBK" w:cs="方正仿宋_GBK"/>
          <w:sz w:val="32"/>
          <w:szCs w:val="32"/>
        </w:rPr>
        <w:t>17</w:t>
      </w:r>
      <w:bookmarkEnd w:id="19"/>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_Toc12512_WPSOffice_Level2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4.6  信息发布</w:t>
      </w:r>
      <w:r>
        <w:rPr>
          <w:rFonts w:hint="eastAsia" w:ascii="Times New Roman" w:hAnsi="Times New Roman" w:eastAsia="方正仿宋_GBK" w:cs="方正仿宋_GBK"/>
          <w:sz w:val="32"/>
          <w:szCs w:val="32"/>
        </w:rPr>
        <w:tab/>
      </w:r>
      <w:bookmarkStart w:id="20" w:name="_Toc12512_WPSOffice_Level2Page"/>
      <w:r>
        <w:rPr>
          <w:rFonts w:hint="eastAsia" w:ascii="Times New Roman" w:hAnsi="Times New Roman" w:eastAsia="方正仿宋_GBK" w:cs="方正仿宋_GBK"/>
          <w:sz w:val="32"/>
          <w:szCs w:val="32"/>
        </w:rPr>
        <w:t>17</w:t>
      </w:r>
      <w:bookmarkEnd w:id="20"/>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_Toc2971_WPSOffice_Level2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4.7  应急结束</w:t>
      </w:r>
      <w:r>
        <w:rPr>
          <w:rFonts w:hint="eastAsia" w:ascii="Times New Roman" w:hAnsi="Times New Roman" w:eastAsia="方正仿宋_GBK" w:cs="方正仿宋_GBK"/>
          <w:sz w:val="32"/>
          <w:szCs w:val="32"/>
        </w:rPr>
        <w:tab/>
      </w:r>
      <w:bookmarkStart w:id="21" w:name="_Toc2971_WPSOffice_Level2Page"/>
      <w:r>
        <w:rPr>
          <w:rFonts w:hint="eastAsia" w:ascii="Times New Roman" w:hAnsi="Times New Roman" w:eastAsia="方正仿宋_GBK" w:cs="方正仿宋_GBK"/>
          <w:sz w:val="32"/>
          <w:szCs w:val="32"/>
        </w:rPr>
        <w:t>18</w:t>
      </w:r>
      <w:bookmarkEnd w:id="21"/>
      <w:r>
        <w:rPr>
          <w:rFonts w:hint="eastAsia" w:ascii="Times New Roman" w:hAnsi="Times New Roman" w:eastAsia="方正仿宋_GBK" w:cs="方正仿宋_GBK"/>
          <w:sz w:val="32"/>
          <w:szCs w:val="32"/>
        </w:rPr>
        <w:fldChar w:fldCharType="end"/>
      </w: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fldChar w:fldCharType="begin"/>
      </w:r>
      <w:r>
        <w:rPr>
          <w:rFonts w:hint="eastAsia" w:ascii="Times New Roman" w:hAnsi="Times New Roman" w:eastAsia="方正黑体_GBK" w:cs="方正黑体_GBK"/>
          <w:b w:val="0"/>
          <w:bCs w:val="0"/>
          <w:sz w:val="32"/>
          <w:szCs w:val="32"/>
        </w:rPr>
        <w:instrText xml:space="preserve"> HYPERLINK \l _Toc2357_WPSOffice_Level1 </w:instrText>
      </w:r>
      <w:r>
        <w:rPr>
          <w:rFonts w:hint="eastAsia" w:ascii="Times New Roman" w:hAnsi="Times New Roman" w:eastAsia="方正黑体_GBK" w:cs="方正黑体_GBK"/>
          <w:b w:val="0"/>
          <w:bCs w:val="0"/>
          <w:sz w:val="32"/>
          <w:szCs w:val="32"/>
        </w:rPr>
        <w:fldChar w:fldCharType="separate"/>
      </w:r>
      <w:r>
        <w:rPr>
          <w:rFonts w:hint="eastAsia" w:ascii="Times New Roman" w:hAnsi="Times New Roman" w:eastAsia="方正黑体_GBK" w:cs="方正黑体_GBK"/>
          <w:b w:val="0"/>
          <w:bCs w:val="0"/>
          <w:sz w:val="32"/>
          <w:szCs w:val="32"/>
        </w:rPr>
        <w:t>5  后期处置</w:t>
      </w:r>
      <w:r>
        <w:rPr>
          <w:rFonts w:hint="eastAsia" w:ascii="Times New Roman" w:hAnsi="Times New Roman" w:eastAsia="方正黑体_GBK" w:cs="方正黑体_GBK"/>
          <w:b w:val="0"/>
          <w:bCs w:val="0"/>
          <w:sz w:val="32"/>
          <w:szCs w:val="32"/>
        </w:rPr>
        <w:tab/>
      </w:r>
      <w:bookmarkStart w:id="22" w:name="_Toc2357_WPSOffice_Level1Page"/>
      <w:r>
        <w:rPr>
          <w:rFonts w:hint="eastAsia" w:ascii="Times New Roman" w:hAnsi="Times New Roman" w:eastAsia="方正黑体_GBK" w:cs="方正黑体_GBK"/>
          <w:b w:val="0"/>
          <w:bCs w:val="0"/>
          <w:sz w:val="32"/>
          <w:szCs w:val="32"/>
        </w:rPr>
        <w:t>18</w:t>
      </w:r>
      <w:bookmarkEnd w:id="22"/>
      <w:r>
        <w:rPr>
          <w:rFonts w:hint="eastAsia" w:ascii="Times New Roman" w:hAnsi="Times New Roman" w:eastAsia="方正黑体_GBK" w:cs="方正黑体_GBK"/>
          <w:b w:val="0"/>
          <w:bCs w:val="0"/>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_Toc29299_WPSOffice_Level2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5.1  善后处置</w:t>
      </w:r>
      <w:r>
        <w:rPr>
          <w:rFonts w:hint="eastAsia" w:ascii="Times New Roman" w:hAnsi="Times New Roman" w:eastAsia="方正仿宋_GBK" w:cs="方正仿宋_GBK"/>
          <w:sz w:val="32"/>
          <w:szCs w:val="32"/>
        </w:rPr>
        <w:tab/>
      </w:r>
      <w:bookmarkStart w:id="23" w:name="_Toc29299_WPSOffice_Level2Page"/>
      <w:r>
        <w:rPr>
          <w:rFonts w:hint="eastAsia" w:ascii="Times New Roman" w:hAnsi="Times New Roman" w:eastAsia="方正仿宋_GBK" w:cs="方正仿宋_GBK"/>
          <w:sz w:val="32"/>
          <w:szCs w:val="32"/>
        </w:rPr>
        <w:t>18</w:t>
      </w:r>
      <w:bookmarkEnd w:id="23"/>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_Toc11846_WPSOffice_Level2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5.2  总结评估</w:t>
      </w:r>
      <w:r>
        <w:rPr>
          <w:rFonts w:hint="eastAsia" w:ascii="Times New Roman" w:hAnsi="Times New Roman" w:eastAsia="方正仿宋_GBK" w:cs="方正仿宋_GBK"/>
          <w:sz w:val="32"/>
          <w:szCs w:val="32"/>
        </w:rPr>
        <w:tab/>
      </w:r>
      <w:bookmarkStart w:id="24" w:name="_Toc11846_WPSOffice_Level2Page"/>
      <w:r>
        <w:rPr>
          <w:rFonts w:hint="eastAsia" w:ascii="Times New Roman" w:hAnsi="Times New Roman" w:eastAsia="方正仿宋_GBK" w:cs="方正仿宋_GBK"/>
          <w:sz w:val="32"/>
          <w:szCs w:val="32"/>
        </w:rPr>
        <w:t>18</w:t>
      </w:r>
      <w:bookmarkEnd w:id="24"/>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_Toc31511_WPSOffice_Level2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5.3  奖惩</w:t>
      </w:r>
      <w:r>
        <w:rPr>
          <w:rFonts w:hint="eastAsia" w:ascii="Times New Roman" w:hAnsi="Times New Roman" w:eastAsia="方正仿宋_GBK" w:cs="方正仿宋_GBK"/>
          <w:sz w:val="32"/>
          <w:szCs w:val="32"/>
        </w:rPr>
        <w:tab/>
      </w:r>
      <w:bookmarkStart w:id="25" w:name="_Toc31511_WPSOffice_Level2Page"/>
      <w:r>
        <w:rPr>
          <w:rFonts w:hint="eastAsia" w:ascii="Times New Roman" w:hAnsi="Times New Roman" w:eastAsia="方正仿宋_GBK" w:cs="方正仿宋_GBK"/>
          <w:sz w:val="32"/>
          <w:szCs w:val="32"/>
        </w:rPr>
        <w:t>18</w:t>
      </w:r>
      <w:bookmarkEnd w:id="25"/>
      <w:r>
        <w:rPr>
          <w:rFonts w:hint="eastAsia" w:ascii="Times New Roman" w:hAnsi="Times New Roman" w:eastAsia="方正仿宋_GBK" w:cs="方正仿宋_GBK"/>
          <w:sz w:val="32"/>
          <w:szCs w:val="32"/>
        </w:rPr>
        <w:fldChar w:fldCharType="end"/>
      </w: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fldChar w:fldCharType="begin"/>
      </w:r>
      <w:r>
        <w:rPr>
          <w:rFonts w:hint="eastAsia" w:ascii="Times New Roman" w:hAnsi="Times New Roman" w:eastAsia="方正黑体_GBK" w:cs="方正黑体_GBK"/>
          <w:b w:val="0"/>
          <w:bCs w:val="0"/>
          <w:sz w:val="32"/>
          <w:szCs w:val="32"/>
        </w:rPr>
        <w:instrText xml:space="preserve"> HYPERLINK \l _Toc7928_WPSOffice_Level1 </w:instrText>
      </w:r>
      <w:r>
        <w:rPr>
          <w:rFonts w:hint="eastAsia" w:ascii="Times New Roman" w:hAnsi="Times New Roman" w:eastAsia="方正黑体_GBK" w:cs="方正黑体_GBK"/>
          <w:b w:val="0"/>
          <w:bCs w:val="0"/>
          <w:sz w:val="32"/>
          <w:szCs w:val="32"/>
        </w:rPr>
        <w:fldChar w:fldCharType="separate"/>
      </w:r>
      <w:r>
        <w:rPr>
          <w:rFonts w:hint="eastAsia" w:ascii="Times New Roman" w:hAnsi="Times New Roman" w:eastAsia="方正黑体_GBK" w:cs="方正黑体_GBK"/>
          <w:b w:val="0"/>
          <w:bCs w:val="0"/>
          <w:sz w:val="32"/>
          <w:szCs w:val="32"/>
        </w:rPr>
        <w:t>6  应急保障</w:t>
      </w:r>
      <w:r>
        <w:rPr>
          <w:rFonts w:hint="eastAsia" w:ascii="Times New Roman" w:hAnsi="Times New Roman" w:eastAsia="方正黑体_GBK" w:cs="方正黑体_GBK"/>
          <w:b w:val="0"/>
          <w:bCs w:val="0"/>
          <w:sz w:val="32"/>
          <w:szCs w:val="32"/>
        </w:rPr>
        <w:tab/>
      </w:r>
      <w:bookmarkStart w:id="26" w:name="_Toc7928_WPSOffice_Level1Page"/>
      <w:r>
        <w:rPr>
          <w:rFonts w:hint="eastAsia" w:ascii="Times New Roman" w:hAnsi="Times New Roman" w:eastAsia="方正黑体_GBK" w:cs="方正黑体_GBK"/>
          <w:b w:val="0"/>
          <w:bCs w:val="0"/>
          <w:sz w:val="32"/>
          <w:szCs w:val="32"/>
        </w:rPr>
        <w:t>19</w:t>
      </w:r>
      <w:bookmarkEnd w:id="26"/>
      <w:r>
        <w:rPr>
          <w:rFonts w:hint="eastAsia" w:ascii="Times New Roman" w:hAnsi="Times New Roman" w:eastAsia="方正黑体_GBK" w:cs="方正黑体_GBK"/>
          <w:b w:val="0"/>
          <w:bCs w:val="0"/>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_Toc13000_WPSOffice_Level2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6.1  信息保障</w:t>
      </w:r>
      <w:r>
        <w:rPr>
          <w:rFonts w:hint="eastAsia" w:ascii="Times New Roman" w:hAnsi="Times New Roman" w:eastAsia="方正仿宋_GBK" w:cs="方正仿宋_GBK"/>
          <w:sz w:val="32"/>
          <w:szCs w:val="32"/>
        </w:rPr>
        <w:tab/>
      </w:r>
      <w:bookmarkStart w:id="27" w:name="_Toc13000_WPSOffice_Level2Page"/>
      <w:r>
        <w:rPr>
          <w:rFonts w:hint="eastAsia" w:ascii="Times New Roman" w:hAnsi="Times New Roman" w:eastAsia="方正仿宋_GBK" w:cs="方正仿宋_GBK"/>
          <w:sz w:val="32"/>
          <w:szCs w:val="32"/>
        </w:rPr>
        <w:t>19</w:t>
      </w:r>
      <w:bookmarkEnd w:id="27"/>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_Toc23987_WPSOffice_Level2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6.2  队伍保障</w:t>
      </w:r>
      <w:r>
        <w:rPr>
          <w:rFonts w:hint="eastAsia" w:ascii="Times New Roman" w:hAnsi="Times New Roman" w:eastAsia="方正仿宋_GBK" w:cs="方正仿宋_GBK"/>
          <w:sz w:val="32"/>
          <w:szCs w:val="32"/>
        </w:rPr>
        <w:tab/>
      </w:r>
      <w:bookmarkStart w:id="28" w:name="_Toc23987_WPSOffice_Level2Page"/>
      <w:r>
        <w:rPr>
          <w:rFonts w:hint="eastAsia" w:ascii="Times New Roman" w:hAnsi="Times New Roman" w:eastAsia="方正仿宋_GBK" w:cs="方正仿宋_GBK"/>
          <w:sz w:val="32"/>
          <w:szCs w:val="32"/>
        </w:rPr>
        <w:t>19</w:t>
      </w:r>
      <w:bookmarkEnd w:id="28"/>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_Toc15309_WPSOffice_Level2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6.3  医疗保障</w:t>
      </w:r>
      <w:r>
        <w:rPr>
          <w:rFonts w:hint="eastAsia" w:ascii="Times New Roman" w:hAnsi="Times New Roman" w:eastAsia="方正仿宋_GBK" w:cs="方正仿宋_GBK"/>
          <w:sz w:val="32"/>
          <w:szCs w:val="32"/>
        </w:rPr>
        <w:tab/>
      </w:r>
      <w:bookmarkStart w:id="29" w:name="_Toc15309_WPSOffice_Level2Page"/>
      <w:r>
        <w:rPr>
          <w:rFonts w:hint="eastAsia" w:ascii="Times New Roman" w:hAnsi="Times New Roman" w:eastAsia="方正仿宋_GBK" w:cs="方正仿宋_GBK"/>
          <w:sz w:val="32"/>
          <w:szCs w:val="32"/>
        </w:rPr>
        <w:t>19</w:t>
      </w:r>
      <w:bookmarkEnd w:id="29"/>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_Toc3865_WPSOffice_Level2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6.4  经费保障</w:t>
      </w:r>
      <w:r>
        <w:rPr>
          <w:rFonts w:hint="eastAsia" w:ascii="Times New Roman" w:hAnsi="Times New Roman" w:eastAsia="方正仿宋_GBK" w:cs="方正仿宋_GBK"/>
          <w:sz w:val="32"/>
          <w:szCs w:val="32"/>
        </w:rPr>
        <w:tab/>
      </w:r>
      <w:bookmarkStart w:id="30" w:name="_Toc3865_WPSOffice_Level2Page"/>
      <w:r>
        <w:rPr>
          <w:rFonts w:hint="eastAsia" w:ascii="Times New Roman" w:hAnsi="Times New Roman" w:eastAsia="方正仿宋_GBK" w:cs="方正仿宋_GBK"/>
          <w:sz w:val="32"/>
          <w:szCs w:val="32"/>
        </w:rPr>
        <w:t>19</w:t>
      </w:r>
      <w:bookmarkEnd w:id="30"/>
      <w:r>
        <w:rPr>
          <w:rFonts w:hint="eastAsia" w:ascii="Times New Roman" w:hAnsi="Times New Roman" w:eastAsia="方正仿宋_GBK" w:cs="方正仿宋_GBK"/>
          <w:sz w:val="32"/>
          <w:szCs w:val="32"/>
        </w:rPr>
        <w:fldChar w:fldCharType="end"/>
      </w: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fldChar w:fldCharType="begin"/>
      </w:r>
      <w:r>
        <w:rPr>
          <w:rFonts w:hint="eastAsia" w:ascii="Times New Roman" w:hAnsi="Times New Roman" w:eastAsia="方正黑体_GBK" w:cs="方正黑体_GBK"/>
          <w:b w:val="0"/>
          <w:bCs w:val="0"/>
          <w:sz w:val="32"/>
          <w:szCs w:val="32"/>
        </w:rPr>
        <w:instrText xml:space="preserve"> HYPERLINK \l _Toc28121_WPSOffice_Level1 </w:instrText>
      </w:r>
      <w:r>
        <w:rPr>
          <w:rFonts w:hint="eastAsia" w:ascii="Times New Roman" w:hAnsi="Times New Roman" w:eastAsia="方正黑体_GBK" w:cs="方正黑体_GBK"/>
          <w:b w:val="0"/>
          <w:bCs w:val="0"/>
          <w:sz w:val="32"/>
          <w:szCs w:val="32"/>
        </w:rPr>
        <w:fldChar w:fldCharType="separate"/>
      </w:r>
      <w:r>
        <w:rPr>
          <w:rFonts w:hint="eastAsia" w:ascii="Times New Roman" w:hAnsi="Times New Roman" w:eastAsia="方正黑体_GBK" w:cs="方正黑体_GBK"/>
          <w:b w:val="0"/>
          <w:bCs w:val="0"/>
          <w:sz w:val="32"/>
          <w:szCs w:val="32"/>
        </w:rPr>
        <w:t>7  预案管理</w:t>
      </w:r>
      <w:r>
        <w:rPr>
          <w:rFonts w:hint="eastAsia" w:ascii="Times New Roman" w:hAnsi="Times New Roman" w:eastAsia="方正黑体_GBK" w:cs="方正黑体_GBK"/>
          <w:b w:val="0"/>
          <w:bCs w:val="0"/>
          <w:sz w:val="32"/>
          <w:szCs w:val="32"/>
        </w:rPr>
        <w:tab/>
      </w:r>
      <w:bookmarkStart w:id="31" w:name="_Toc28121_WPSOffice_Level1Page"/>
      <w:r>
        <w:rPr>
          <w:rFonts w:hint="eastAsia" w:ascii="Times New Roman" w:hAnsi="Times New Roman" w:eastAsia="方正黑体_GBK" w:cs="方正黑体_GBK"/>
          <w:b w:val="0"/>
          <w:bCs w:val="0"/>
          <w:sz w:val="32"/>
          <w:szCs w:val="32"/>
        </w:rPr>
        <w:t>19</w:t>
      </w:r>
      <w:bookmarkEnd w:id="31"/>
      <w:r>
        <w:rPr>
          <w:rFonts w:hint="eastAsia" w:ascii="Times New Roman" w:hAnsi="Times New Roman" w:eastAsia="方正黑体_GBK" w:cs="方正黑体_GBK"/>
          <w:b w:val="0"/>
          <w:bCs w:val="0"/>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_Toc9055_WPSOffice_Level2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7.1  预案修订</w:t>
      </w:r>
      <w:r>
        <w:rPr>
          <w:rFonts w:hint="eastAsia" w:ascii="Times New Roman" w:hAnsi="Times New Roman" w:eastAsia="方正仿宋_GBK" w:cs="方正仿宋_GBK"/>
          <w:sz w:val="32"/>
          <w:szCs w:val="32"/>
        </w:rPr>
        <w:tab/>
      </w:r>
      <w:bookmarkStart w:id="32" w:name="_Toc9055_WPSOffice_Level2Page"/>
      <w:r>
        <w:rPr>
          <w:rFonts w:hint="eastAsia" w:ascii="Times New Roman" w:hAnsi="Times New Roman" w:eastAsia="方正仿宋_GBK" w:cs="方正仿宋_GBK"/>
          <w:sz w:val="32"/>
          <w:szCs w:val="32"/>
        </w:rPr>
        <w:t>20</w:t>
      </w:r>
      <w:bookmarkEnd w:id="32"/>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_Toc14955_WPSOffice_Level2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7.2  应急演练</w:t>
      </w:r>
      <w:r>
        <w:rPr>
          <w:rFonts w:hint="eastAsia" w:ascii="Times New Roman" w:hAnsi="Times New Roman" w:eastAsia="方正仿宋_GBK" w:cs="方正仿宋_GBK"/>
          <w:sz w:val="32"/>
          <w:szCs w:val="32"/>
        </w:rPr>
        <w:tab/>
      </w:r>
      <w:bookmarkStart w:id="33" w:name="_Toc14955_WPSOffice_Level2Page"/>
      <w:r>
        <w:rPr>
          <w:rFonts w:hint="eastAsia" w:ascii="Times New Roman" w:hAnsi="Times New Roman" w:eastAsia="方正仿宋_GBK" w:cs="方正仿宋_GBK"/>
          <w:sz w:val="32"/>
          <w:szCs w:val="32"/>
        </w:rPr>
        <w:t>20</w:t>
      </w:r>
      <w:bookmarkEnd w:id="33"/>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_Toc1952_WPSOffice_Level2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7.3  宣传培训</w:t>
      </w:r>
      <w:r>
        <w:rPr>
          <w:rFonts w:hint="eastAsia" w:ascii="Times New Roman" w:hAnsi="Times New Roman" w:eastAsia="方正仿宋_GBK" w:cs="方正仿宋_GBK"/>
          <w:sz w:val="32"/>
          <w:szCs w:val="32"/>
        </w:rPr>
        <w:tab/>
      </w:r>
      <w:bookmarkStart w:id="34" w:name="_Toc1952_WPSOffice_Level2Page"/>
      <w:r>
        <w:rPr>
          <w:rFonts w:hint="eastAsia" w:ascii="Times New Roman" w:hAnsi="Times New Roman" w:eastAsia="方正仿宋_GBK" w:cs="方正仿宋_GBK"/>
          <w:sz w:val="32"/>
          <w:szCs w:val="32"/>
        </w:rPr>
        <w:t>20</w:t>
      </w:r>
      <w:bookmarkEnd w:id="34"/>
      <w:r>
        <w:rPr>
          <w:rFonts w:hint="eastAsia" w:ascii="Times New Roman" w:hAnsi="Times New Roman" w:eastAsia="方正仿宋_GBK" w:cs="方正仿宋_GBK"/>
          <w:sz w:val="32"/>
          <w:szCs w:val="32"/>
        </w:rPr>
        <w:fldChar w:fldCharType="end"/>
      </w: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fldChar w:fldCharType="begin"/>
      </w:r>
      <w:r>
        <w:rPr>
          <w:rFonts w:hint="eastAsia" w:ascii="Times New Roman" w:hAnsi="Times New Roman" w:eastAsia="方正黑体_GBK" w:cs="方正黑体_GBK"/>
          <w:b w:val="0"/>
          <w:bCs w:val="0"/>
          <w:sz w:val="32"/>
          <w:szCs w:val="32"/>
        </w:rPr>
        <w:instrText xml:space="preserve"> HYPERLINK \l _Toc32100_WPSOffice_Level1 </w:instrText>
      </w:r>
      <w:r>
        <w:rPr>
          <w:rFonts w:hint="eastAsia" w:ascii="Times New Roman" w:hAnsi="Times New Roman" w:eastAsia="方正黑体_GBK" w:cs="方正黑体_GBK"/>
          <w:b w:val="0"/>
          <w:bCs w:val="0"/>
          <w:sz w:val="32"/>
          <w:szCs w:val="32"/>
        </w:rPr>
        <w:fldChar w:fldCharType="separate"/>
      </w:r>
      <w:r>
        <w:rPr>
          <w:rFonts w:hint="eastAsia" w:ascii="Times New Roman" w:hAnsi="Times New Roman" w:eastAsia="方正黑体_GBK" w:cs="方正黑体_GBK"/>
          <w:b w:val="0"/>
          <w:bCs w:val="0"/>
          <w:sz w:val="32"/>
          <w:szCs w:val="32"/>
        </w:rPr>
        <w:t>8  附则</w:t>
      </w:r>
      <w:r>
        <w:rPr>
          <w:rFonts w:hint="eastAsia" w:ascii="Times New Roman" w:hAnsi="Times New Roman" w:eastAsia="方正黑体_GBK" w:cs="方正黑体_GBK"/>
          <w:b w:val="0"/>
          <w:bCs w:val="0"/>
          <w:sz w:val="32"/>
          <w:szCs w:val="32"/>
        </w:rPr>
        <w:tab/>
      </w:r>
      <w:bookmarkStart w:id="35" w:name="_Toc32100_WPSOffice_Level1Page"/>
      <w:r>
        <w:rPr>
          <w:rFonts w:hint="eastAsia" w:ascii="Times New Roman" w:hAnsi="Times New Roman" w:eastAsia="方正黑体_GBK" w:cs="方正黑体_GBK"/>
          <w:b w:val="0"/>
          <w:bCs w:val="0"/>
          <w:sz w:val="32"/>
          <w:szCs w:val="32"/>
        </w:rPr>
        <w:t>20</w:t>
      </w:r>
      <w:bookmarkEnd w:id="35"/>
      <w:r>
        <w:rPr>
          <w:rFonts w:hint="eastAsia" w:ascii="Times New Roman" w:hAnsi="Times New Roman" w:eastAsia="方正黑体_GBK" w:cs="方正黑体_GBK"/>
          <w:b w:val="0"/>
          <w:bCs w:val="0"/>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_Toc1700_WPSOffice_Level2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8.1  名词术语</w:t>
      </w:r>
      <w:r>
        <w:rPr>
          <w:rFonts w:hint="eastAsia" w:ascii="Times New Roman" w:hAnsi="Times New Roman" w:eastAsia="方正仿宋_GBK" w:cs="方正仿宋_GBK"/>
          <w:sz w:val="32"/>
          <w:szCs w:val="32"/>
        </w:rPr>
        <w:tab/>
      </w:r>
      <w:bookmarkStart w:id="36" w:name="_Toc1700_WPSOffice_Level2Page"/>
      <w:r>
        <w:rPr>
          <w:rFonts w:hint="eastAsia" w:ascii="Times New Roman" w:hAnsi="Times New Roman" w:eastAsia="方正仿宋_GBK" w:cs="方正仿宋_GBK"/>
          <w:sz w:val="32"/>
          <w:szCs w:val="32"/>
        </w:rPr>
        <w:t>20</w:t>
      </w:r>
      <w:bookmarkEnd w:id="36"/>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_Toc25388_WPSOffice_Level2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8.2  预案解释</w:t>
      </w:r>
      <w:r>
        <w:rPr>
          <w:rFonts w:hint="eastAsia" w:ascii="Times New Roman" w:hAnsi="Times New Roman" w:eastAsia="方正仿宋_GBK" w:cs="方正仿宋_GBK"/>
          <w:sz w:val="32"/>
          <w:szCs w:val="32"/>
        </w:rPr>
        <w:tab/>
      </w:r>
      <w:bookmarkStart w:id="37" w:name="_Toc25388_WPSOffice_Level2Page"/>
      <w:r>
        <w:rPr>
          <w:rFonts w:hint="eastAsia" w:ascii="Times New Roman" w:hAnsi="Times New Roman" w:eastAsia="方正仿宋_GBK" w:cs="方正仿宋_GBK"/>
          <w:sz w:val="32"/>
          <w:szCs w:val="32"/>
        </w:rPr>
        <w:t>20</w:t>
      </w:r>
      <w:bookmarkEnd w:id="37"/>
      <w:r>
        <w:rPr>
          <w:rFonts w:hint="eastAsia" w:ascii="Times New Roman" w:hAnsi="Times New Roman" w:eastAsia="方正仿宋_GBK" w:cs="方正仿宋_GBK"/>
          <w:sz w:val="32"/>
          <w:szCs w:val="32"/>
        </w:rPr>
        <w:fldChar w:fldCharType="end"/>
      </w:r>
    </w:p>
    <w:p>
      <w:pPr>
        <w:pStyle w:val="17"/>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\l _Toc31978_WPSOffice_Level2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sz w:val="32"/>
          <w:szCs w:val="32"/>
        </w:rPr>
        <w:t>8.3  预案实施</w:t>
      </w:r>
      <w:r>
        <w:rPr>
          <w:rFonts w:hint="eastAsia" w:ascii="Times New Roman" w:hAnsi="Times New Roman" w:eastAsia="方正仿宋_GBK" w:cs="方正仿宋_GBK"/>
          <w:sz w:val="32"/>
          <w:szCs w:val="32"/>
        </w:rPr>
        <w:tab/>
      </w:r>
      <w:bookmarkStart w:id="38" w:name="_Toc31978_WPSOffice_Level2Page"/>
      <w:r>
        <w:rPr>
          <w:rFonts w:hint="eastAsia" w:ascii="Times New Roman" w:hAnsi="Times New Roman" w:eastAsia="方正仿宋_GBK" w:cs="方正仿宋_GBK"/>
          <w:sz w:val="32"/>
          <w:szCs w:val="32"/>
        </w:rPr>
        <w:t>20</w:t>
      </w:r>
      <w:bookmarkEnd w:id="38"/>
      <w:r>
        <w:rPr>
          <w:rFonts w:hint="eastAsia" w:ascii="Times New Roman" w:hAnsi="Times New Roman" w:eastAsia="方正仿宋_GBK" w:cs="方正仿宋_GBK"/>
          <w:sz w:val="32"/>
          <w:szCs w:val="32"/>
        </w:rPr>
        <w:fldChar w:fldCharType="end"/>
      </w: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p>
    <w:p>
      <w:pPr>
        <w:pStyle w:val="16"/>
        <w:keepNext w:val="0"/>
        <w:keepLines w:val="0"/>
        <w:pageBreakBefore w:val="0"/>
        <w:tabs>
          <w:tab w:val="right" w:leader="dot" w:pos="8844"/>
        </w:tabs>
        <w:kinsoku/>
        <w:wordWrap/>
        <w:overflowPunct/>
        <w:topLinePunct w:val="0"/>
        <w:bidi w:val="0"/>
        <w:snapToGrid/>
        <w:ind w:leftChars="0"/>
        <w:jc w:val="both"/>
        <w:rPr>
          <w:rFonts w:hint="eastAsia" w:ascii="Times New Roman" w:hAnsi="Times New Roman" w:eastAsia="方正仿宋_GBK" w:cs="方正仿宋_GBK"/>
          <w:sz w:val="32"/>
          <w:szCs w:val="32"/>
        </w:rPr>
      </w:pPr>
    </w:p>
    <w:bookmarkEnd w:id="0"/>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32" w:firstLineChars="200"/>
        <w:jc w:val="both"/>
        <w:textAlignment w:val="baseline"/>
        <w:rPr>
          <w:rFonts w:hint="eastAsia" w:ascii="Times New Roman" w:hAnsi="Times New Roman" w:eastAsia="方正黑体_GBK" w:cs="方正黑体_GBK"/>
          <w:b w:val="0"/>
          <w:bCs w:val="0"/>
          <w:spacing w:val="0"/>
          <w:w w:val="100"/>
          <w:position w:val="0"/>
          <w:sz w:val="32"/>
          <w:szCs w:val="32"/>
        </w:rPr>
      </w:pPr>
      <w:bookmarkStart w:id="39" w:name="_Toc26173_WPSOffice_Level1"/>
      <w:r>
        <w:rPr>
          <w:rFonts w:hint="default" w:ascii="Times New Roman" w:hAnsi="Times New Roman" w:eastAsia="方正黑体_GBK" w:cs="Times New Roman"/>
          <w:b w:val="0"/>
          <w:bCs w:val="0"/>
          <w:spacing w:val="0"/>
          <w:w w:val="100"/>
          <w:position w:val="0"/>
          <w:sz w:val="32"/>
          <w:szCs w:val="32"/>
        </w:rPr>
        <w:br w:type="page"/>
      </w:r>
      <w:r>
        <w:rPr>
          <w:rFonts w:hint="default" w:ascii="Times New Roman" w:hAnsi="Times New Roman" w:eastAsia="方正黑体_GBK" w:cs="Times New Roman"/>
          <w:b w:val="0"/>
          <w:bCs w:val="0"/>
          <w:spacing w:val="0"/>
          <w:w w:val="100"/>
          <w:position w:val="0"/>
          <w:sz w:val="32"/>
          <w:szCs w:val="32"/>
        </w:rPr>
        <w:t>1</w:t>
      </w:r>
      <w:r>
        <w:rPr>
          <w:rFonts w:hint="eastAsia" w:ascii="Times New Roman" w:hAnsi="Times New Roman" w:eastAsia="方正黑体_GBK" w:cs="方正黑体_GBK"/>
          <w:b w:val="0"/>
          <w:bCs w:val="0"/>
          <w:spacing w:val="0"/>
          <w:w w:val="100"/>
          <w:position w:val="0"/>
          <w:sz w:val="32"/>
          <w:szCs w:val="32"/>
        </w:rPr>
        <w:t xml:space="preserve">  总则</w:t>
      </w:r>
      <w:bookmarkEnd w:id="39"/>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leftChars="0" w:right="0" w:rightChars="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40" w:name="_Toc14034_WPSOffice_Level2"/>
      <w:r>
        <w:rPr>
          <w:rFonts w:hint="eastAsia" w:ascii="Times New Roman" w:hAnsi="Times New Roman" w:eastAsia="方正楷体_GBK" w:cs="方正楷体_GBK"/>
          <w:b w:val="0"/>
          <w:bCs w:val="0"/>
          <w:spacing w:val="0"/>
          <w:w w:val="100"/>
          <w:position w:val="0"/>
          <w:sz w:val="32"/>
          <w:szCs w:val="32"/>
          <w:lang w:val="en-US" w:eastAsia="zh-CN"/>
        </w:rPr>
        <w:t>1.1</w:t>
      </w:r>
      <w:r>
        <w:rPr>
          <w:rFonts w:hint="eastAsia" w:ascii="Times New Roman" w:hAnsi="Times New Roman" w:eastAsia="方正楷体_GBK" w:cs="方正楷体_GBK"/>
          <w:b w:val="0"/>
          <w:bCs w:val="0"/>
          <w:spacing w:val="0"/>
          <w:w w:val="100"/>
          <w:position w:val="0"/>
          <w:sz w:val="32"/>
          <w:szCs w:val="32"/>
        </w:rPr>
        <w:t xml:space="preserve">  编制目</w:t>
      </w:r>
      <w:r>
        <w:rPr>
          <w:rFonts w:hint="eastAsia" w:ascii="Times New Roman" w:hAnsi="Times New Roman" w:eastAsia="方正楷体_GBK" w:cs="方正楷体_GBK"/>
          <w:b w:val="0"/>
          <w:bCs w:val="0"/>
          <w:spacing w:val="0"/>
          <w:w w:val="100"/>
          <w:position w:val="0"/>
          <w:sz w:val="32"/>
          <w:szCs w:val="32"/>
          <w:lang w:eastAsia="zh-CN"/>
        </w:rPr>
        <w:t>的</w:t>
      </w:r>
      <w:bookmarkEnd w:id="40"/>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建立健全本县药品和医疗器械（不含疫苗，以下简称药械）安全突发事件应对处置工作机制</w:t>
      </w:r>
      <w:r>
        <w:rPr>
          <w:rFonts w:hint="eastAsia" w:ascii="Times New Roman" w:hAnsi="Times New Roman" w:eastAsia="方正仿宋_GBK" w:cs="方正仿宋_GBK"/>
          <w:b w:val="0"/>
          <w:bCs w:val="0"/>
          <w:spacing w:val="0"/>
          <w:w w:val="100"/>
          <w:position w:val="0"/>
          <w:sz w:val="32"/>
          <w:szCs w:val="32"/>
          <w:lang w:val="en-US" w:eastAsia="zh-CN"/>
        </w:rPr>
        <w:t>，</w:t>
      </w:r>
      <w:r>
        <w:rPr>
          <w:rFonts w:hint="eastAsia" w:ascii="Times New Roman" w:hAnsi="Times New Roman" w:eastAsia="方正仿宋_GBK" w:cs="方正仿宋_GBK"/>
          <w:b w:val="0"/>
          <w:bCs w:val="0"/>
          <w:spacing w:val="0"/>
          <w:w w:val="100"/>
          <w:position w:val="0"/>
          <w:sz w:val="32"/>
          <w:szCs w:val="32"/>
        </w:rPr>
        <w:t>有效预防、积极应对、及时控制各类药械安全突发事件，最大程度减少突发事件造成的危害</w:t>
      </w:r>
      <w:r>
        <w:rPr>
          <w:rFonts w:hint="eastAsia" w:ascii="Times New Roman" w:hAnsi="Times New Roman" w:eastAsia="方正仿宋_GBK" w:cs="方正仿宋_GBK"/>
          <w:b w:val="0"/>
          <w:bCs w:val="0"/>
          <w:spacing w:val="0"/>
          <w:w w:val="100"/>
          <w:position w:val="0"/>
          <w:sz w:val="32"/>
          <w:szCs w:val="32"/>
          <w:lang w:val="en-US" w:eastAsia="zh-CN"/>
        </w:rPr>
        <w:t>，</w:t>
      </w:r>
      <w:r>
        <w:rPr>
          <w:rFonts w:hint="eastAsia" w:ascii="Times New Roman" w:hAnsi="Times New Roman" w:eastAsia="方正仿宋_GBK" w:cs="方正仿宋_GBK"/>
          <w:b w:val="0"/>
          <w:bCs w:val="0"/>
          <w:spacing w:val="0"/>
          <w:w w:val="100"/>
          <w:position w:val="0"/>
          <w:sz w:val="32"/>
          <w:szCs w:val="32"/>
        </w:rPr>
        <w:t>保障公众身体健康和生命安全，维持正常社会经济秩序。</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leftChars="0" w:right="0" w:rightChars="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41" w:name="_Toc21973_WPSOffice_Level2"/>
      <w:r>
        <w:rPr>
          <w:rFonts w:hint="eastAsia" w:ascii="Times New Roman" w:hAnsi="Times New Roman" w:eastAsia="方正楷体_GBK" w:cs="方正楷体_GBK"/>
          <w:b w:val="0"/>
          <w:bCs w:val="0"/>
          <w:spacing w:val="0"/>
          <w:w w:val="100"/>
          <w:position w:val="0"/>
          <w:sz w:val="32"/>
          <w:szCs w:val="32"/>
          <w:lang w:val="en-US" w:eastAsia="zh-CN"/>
        </w:rPr>
        <w:t xml:space="preserve">1.2  </w:t>
      </w:r>
      <w:r>
        <w:rPr>
          <w:rFonts w:hint="eastAsia" w:ascii="Times New Roman" w:hAnsi="Times New Roman" w:eastAsia="方正楷体_GBK" w:cs="方正楷体_GBK"/>
          <w:b w:val="0"/>
          <w:bCs w:val="0"/>
          <w:spacing w:val="0"/>
          <w:w w:val="100"/>
          <w:position w:val="0"/>
          <w:sz w:val="32"/>
          <w:szCs w:val="32"/>
        </w:rPr>
        <w:t>编制依据</w:t>
      </w:r>
      <w:bookmarkEnd w:id="41"/>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依据《中华人民共和国突发事件应对法》《中华人民共和国药品管理法》《突发公共卫生事件应急条例》《中华人民共和国药品管理法实施条例》《医疗器械监督管理条例》《国家药监局药品安全突发事件应急预案》《国家药监局医疗器械安全突发事件应急预案》《重庆市突发事件应对条例》《重庆市突发公共事件总体应急预案》《重庆市突发事件应急预案管理实施办法》《重庆市药品和医疗器械安全突发事件应急预案》</w:t>
      </w:r>
      <w:r>
        <w:rPr>
          <w:rFonts w:hint="eastAsia" w:ascii="Times New Roman" w:hAnsi="Times New Roman" w:eastAsia="方正仿宋_GBK" w:cs="方正仿宋_GBK"/>
          <w:b w:val="0"/>
          <w:bCs w:val="0"/>
          <w:color w:val="auto"/>
          <w:spacing w:val="0"/>
          <w:w w:val="100"/>
          <w:position w:val="0"/>
          <w:sz w:val="32"/>
          <w:szCs w:val="32"/>
        </w:rPr>
        <w:t>《巫</w:t>
      </w:r>
      <w:r>
        <w:rPr>
          <w:rFonts w:hint="eastAsia" w:ascii="Times New Roman" w:hAnsi="Times New Roman" w:eastAsia="方正仿宋_GBK" w:cs="方正仿宋_GBK"/>
          <w:b w:val="0"/>
          <w:bCs w:val="0"/>
          <w:color w:val="auto"/>
          <w:spacing w:val="0"/>
          <w:w w:val="100"/>
          <w:position w:val="0"/>
          <w:sz w:val="32"/>
          <w:szCs w:val="32"/>
          <w:lang w:eastAsia="zh-CN"/>
        </w:rPr>
        <w:t>溪</w:t>
      </w:r>
      <w:r>
        <w:rPr>
          <w:rFonts w:hint="eastAsia" w:ascii="Times New Roman" w:hAnsi="Times New Roman" w:eastAsia="方正仿宋_GBK" w:cs="方正仿宋_GBK"/>
          <w:b w:val="0"/>
          <w:bCs w:val="0"/>
          <w:color w:val="auto"/>
          <w:spacing w:val="0"/>
          <w:w w:val="100"/>
          <w:position w:val="0"/>
          <w:sz w:val="32"/>
          <w:szCs w:val="32"/>
        </w:rPr>
        <w:t>县突发事件总体应急预案》</w:t>
      </w:r>
      <w:r>
        <w:rPr>
          <w:rFonts w:hint="eastAsia" w:ascii="Times New Roman" w:hAnsi="Times New Roman" w:eastAsia="方正仿宋_GBK" w:cs="方正仿宋_GBK"/>
          <w:b w:val="0"/>
          <w:bCs w:val="0"/>
          <w:spacing w:val="0"/>
          <w:w w:val="100"/>
          <w:position w:val="0"/>
          <w:sz w:val="32"/>
          <w:szCs w:val="32"/>
        </w:rPr>
        <w:t>等法律法规规定和相关应急预案，结合我县实际制定本预案。</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leftChars="0" w:right="0" w:rightChars="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42" w:name="_Toc20790_WPSOffice_Level2"/>
      <w:r>
        <w:rPr>
          <w:rFonts w:hint="eastAsia" w:ascii="Times New Roman" w:hAnsi="Times New Roman" w:eastAsia="方正楷体_GBK" w:cs="方正楷体_GBK"/>
          <w:b w:val="0"/>
          <w:bCs w:val="0"/>
          <w:spacing w:val="0"/>
          <w:w w:val="100"/>
          <w:position w:val="0"/>
          <w:sz w:val="32"/>
          <w:szCs w:val="32"/>
          <w:lang w:val="en-US" w:eastAsia="zh-CN"/>
        </w:rPr>
        <w:t xml:space="preserve">1.3  </w:t>
      </w:r>
      <w:r>
        <w:rPr>
          <w:rFonts w:hint="eastAsia" w:ascii="Times New Roman" w:hAnsi="Times New Roman" w:eastAsia="方正楷体_GBK" w:cs="方正楷体_GBK"/>
          <w:b w:val="0"/>
          <w:bCs w:val="0"/>
          <w:spacing w:val="0"/>
          <w:w w:val="100"/>
          <w:position w:val="0"/>
          <w:sz w:val="32"/>
          <w:szCs w:val="32"/>
        </w:rPr>
        <w:t>适用范围</w:t>
      </w:r>
      <w:bookmarkEnd w:id="42"/>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eastAsia" w:ascii="Times New Roman" w:hAnsi="Times New Roman" w:eastAsia="方正仿宋_GBK" w:cs="方正仿宋_GBK"/>
          <w:b w:val="0"/>
          <w:bCs w:val="0"/>
          <w:spacing w:val="0"/>
          <w:w w:val="100"/>
          <w:position w:val="0"/>
          <w:sz w:val="32"/>
          <w:szCs w:val="32"/>
        </w:rPr>
        <w:t>本预案适用于巫</w:t>
      </w:r>
      <w:r>
        <w:rPr>
          <w:rFonts w:hint="eastAsia" w:ascii="Times New Roman" w:hAnsi="Times New Roman" w:eastAsia="方正仿宋_GBK" w:cs="方正仿宋_GBK"/>
          <w:b w:val="0"/>
          <w:bCs w:val="0"/>
          <w:spacing w:val="0"/>
          <w:w w:val="100"/>
          <w:position w:val="0"/>
          <w:sz w:val="32"/>
          <w:szCs w:val="32"/>
          <w:lang w:eastAsia="zh-CN"/>
        </w:rPr>
        <w:t>溪</w:t>
      </w:r>
      <w:r>
        <w:rPr>
          <w:rFonts w:hint="eastAsia" w:ascii="Times New Roman" w:hAnsi="Times New Roman" w:eastAsia="方正仿宋_GBK" w:cs="方正仿宋_GBK"/>
          <w:b w:val="0"/>
          <w:bCs w:val="0"/>
          <w:spacing w:val="0"/>
          <w:w w:val="100"/>
          <w:position w:val="0"/>
          <w:sz w:val="32"/>
          <w:szCs w:val="32"/>
        </w:rPr>
        <w:t>县行政区域内的药械安全突发事件应对</w:t>
      </w:r>
      <w:r>
        <w:rPr>
          <w:rFonts w:hint="eastAsia" w:ascii="Times New Roman" w:hAnsi="Times New Roman" w:eastAsia="方正仿宋_GBK" w:cs="方正仿宋_GBK"/>
          <w:b w:val="0"/>
          <w:bCs w:val="0"/>
          <w:spacing w:val="0"/>
          <w:w w:val="100"/>
          <w:position w:val="0"/>
          <w:sz w:val="32"/>
          <w:szCs w:val="32"/>
          <w:lang w:eastAsia="zh-CN"/>
        </w:rPr>
        <w:t>处置工作。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right="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43" w:name="_Toc30157_WPSOffice_Level2"/>
      <w:r>
        <w:rPr>
          <w:rFonts w:hint="eastAsia" w:ascii="Times New Roman" w:hAnsi="Times New Roman" w:eastAsia="方正楷体_GBK" w:cs="方正楷体_GBK"/>
          <w:b w:val="0"/>
          <w:bCs w:val="0"/>
          <w:spacing w:val="0"/>
          <w:w w:val="100"/>
          <w:position w:val="0"/>
          <w:sz w:val="32"/>
          <w:szCs w:val="32"/>
          <w:lang w:val="en-US" w:eastAsia="zh-CN"/>
        </w:rPr>
        <w:t xml:space="preserve">1.4  </w:t>
      </w:r>
      <w:r>
        <w:rPr>
          <w:rFonts w:hint="eastAsia" w:ascii="Times New Roman" w:hAnsi="Times New Roman" w:eastAsia="方正楷体_GBK" w:cs="方正楷体_GBK"/>
          <w:b w:val="0"/>
          <w:bCs w:val="0"/>
          <w:spacing w:val="0"/>
          <w:w w:val="100"/>
          <w:position w:val="0"/>
          <w:sz w:val="32"/>
          <w:szCs w:val="32"/>
        </w:rPr>
        <w:t>工作原则</w:t>
      </w:r>
      <w:bookmarkEnd w:id="43"/>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）人民至上、生命至上。坚持以人民为中心的思想，把人民群众生命安全和身体健康放在第一位，切实保障人民群众生命健康安全。</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）统一领导、分级负责。在县委、县政府的统一领导和重庆市药监局的指导下</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落实各级政府药械安全应急工作责任，根据药械安全突发事件分级标准，分级组织应对工作。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583"/>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）快速反应、协同应对。健全药械安全突发事件应急保障体系，建立部门协调联动机制，快速高效开展应对处置工作，最大程度减少损害和影响。</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03"/>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）预防为主、依法处置。依照有关法律法规和制度，充分利用科学手段和技术装备，做好药械安全突发事件防范应对工作。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44" w:name="_Toc9224_WPSOffice_Level2"/>
      <w:r>
        <w:rPr>
          <w:rFonts w:hint="eastAsia" w:ascii="Times New Roman" w:hAnsi="Times New Roman" w:eastAsia="方正楷体_GBK" w:cs="方正楷体_GBK"/>
          <w:b w:val="0"/>
          <w:bCs w:val="0"/>
          <w:spacing w:val="0"/>
          <w:w w:val="100"/>
          <w:position w:val="0"/>
          <w:sz w:val="32"/>
          <w:szCs w:val="32"/>
        </w:rPr>
        <w:t>1.5</w:t>
      </w:r>
      <w:r>
        <w:rPr>
          <w:rFonts w:hint="eastAsia" w:ascii="Times New Roman" w:hAnsi="Times New Roman" w:eastAsia="方正楷体_GBK" w:cs="方正楷体_GBK"/>
          <w:b w:val="0"/>
          <w:bCs w:val="0"/>
          <w:spacing w:val="0"/>
          <w:w w:val="100"/>
          <w:position w:val="0"/>
          <w:sz w:val="32"/>
          <w:szCs w:val="32"/>
          <w:lang w:eastAsia="zh-CN"/>
        </w:rPr>
        <w:t xml:space="preserve">  </w:t>
      </w:r>
      <w:r>
        <w:rPr>
          <w:rFonts w:hint="eastAsia" w:ascii="Times New Roman" w:hAnsi="Times New Roman" w:eastAsia="方正楷体_GBK" w:cs="方正楷体_GBK"/>
          <w:b w:val="0"/>
          <w:bCs w:val="0"/>
          <w:spacing w:val="0"/>
          <w:w w:val="100"/>
          <w:position w:val="0"/>
          <w:sz w:val="32"/>
          <w:szCs w:val="32"/>
        </w:rPr>
        <w:t>突发事件分级</w:t>
      </w:r>
      <w:bookmarkEnd w:id="44"/>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根据事件的危害程度和影响范围等因素，药械安全突发事件分为四级：特别重大药械安全突发事件（</w:t>
      </w:r>
      <w:r>
        <w:rPr>
          <w:rFonts w:hint="default" w:ascii="Times New Roman" w:hAnsi="Times New Roman" w:eastAsia="方正仿宋_GBK" w:cs="Times New Roman"/>
          <w:b w:val="0"/>
          <w:bCs w:val="0"/>
          <w:spacing w:val="0"/>
          <w:w w:val="100"/>
          <w:position w:val="0"/>
          <w:sz w:val="32"/>
          <w:szCs w:val="32"/>
        </w:rPr>
        <w:t>I</w:t>
      </w:r>
      <w:r>
        <w:rPr>
          <w:rFonts w:hint="eastAsia" w:ascii="Times New Roman" w:hAnsi="Times New Roman" w:eastAsia="方正仿宋_GBK" w:cs="方正仿宋_GBK"/>
          <w:b w:val="0"/>
          <w:bCs w:val="0"/>
          <w:spacing w:val="0"/>
          <w:w w:val="100"/>
          <w:position w:val="0"/>
          <w:sz w:val="32"/>
          <w:szCs w:val="32"/>
        </w:rPr>
        <w:t>级）、重大药械安全突发事件（</w:t>
      </w:r>
      <w:r>
        <w:rPr>
          <w:rFonts w:hint="default" w:ascii="Times New Roman" w:hAnsi="Times New Roman" w:eastAsia="方正仿宋_GBK" w:cs="Times New Roman"/>
          <w:b w:val="0"/>
          <w:bCs w:val="0"/>
          <w:spacing w:val="0"/>
          <w:w w:val="100"/>
          <w:position w:val="0"/>
          <w:sz w:val="32"/>
          <w:szCs w:val="32"/>
        </w:rPr>
        <w:t>II</w:t>
      </w:r>
      <w:r>
        <w:rPr>
          <w:rFonts w:hint="eastAsia" w:ascii="Times New Roman" w:hAnsi="Times New Roman" w:eastAsia="方正仿宋_GBK" w:cs="方正仿宋_GBK"/>
          <w:b w:val="0"/>
          <w:bCs w:val="0"/>
          <w:spacing w:val="0"/>
          <w:w w:val="100"/>
          <w:position w:val="0"/>
          <w:sz w:val="32"/>
          <w:szCs w:val="32"/>
        </w:rPr>
        <w:t>级）、较大药械安全突发事件</w:t>
      </w: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rPr>
        <w:t>III</w:t>
      </w:r>
      <w:r>
        <w:rPr>
          <w:rFonts w:hint="eastAsia" w:ascii="Times New Roman" w:hAnsi="Times New Roman" w:eastAsia="方正仿宋_GBK" w:cs="方正仿宋_GBK"/>
          <w:b w:val="0"/>
          <w:bCs w:val="0"/>
          <w:spacing w:val="0"/>
          <w:w w:val="100"/>
          <w:position w:val="0"/>
          <w:sz w:val="32"/>
          <w:szCs w:val="32"/>
        </w:rPr>
        <w:t>级）和一般药械安全突发事件（</w:t>
      </w:r>
      <w:r>
        <w:rPr>
          <w:rFonts w:hint="default" w:ascii="Times New Roman" w:hAnsi="Times New Roman" w:eastAsia="方正仿宋_GBK" w:cs="Times New Roman"/>
          <w:b w:val="0"/>
          <w:bCs w:val="0"/>
          <w:spacing w:val="0"/>
          <w:w w:val="100"/>
          <w:position w:val="0"/>
          <w:sz w:val="32"/>
          <w:szCs w:val="32"/>
        </w:rPr>
        <w:t>IV</w:t>
      </w:r>
      <w:r>
        <w:rPr>
          <w:rFonts w:hint="eastAsia" w:ascii="Times New Roman" w:hAnsi="Times New Roman" w:eastAsia="方正仿宋_GBK" w:cs="方正仿宋_GBK"/>
          <w:b w:val="0"/>
          <w:bCs w:val="0"/>
          <w:spacing w:val="0"/>
          <w:w w:val="100"/>
          <w:position w:val="0"/>
          <w:sz w:val="32"/>
          <w:szCs w:val="32"/>
        </w:rPr>
        <w:t xml:space="preserve"> 级）。</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bookmarkStart w:id="45" w:name="_Toc7495_WPSOffice_Level3"/>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 xml:space="preserve">  符合下列情形之一为特别重大药械安全突发事件：</w:t>
      </w:r>
      <w:bookmarkEnd w:id="45"/>
    </w:p>
    <w:p>
      <w:pPr>
        <w:pStyle w:val="3"/>
        <w:keepNext w:val="0"/>
        <w:keepLines w:val="0"/>
        <w:pageBreakBefore w:val="0"/>
        <w:widowControl w:val="0"/>
        <w:kinsoku/>
        <w:wordWrap/>
        <w:overflowPunct/>
        <w:topLinePunct w:val="0"/>
        <w:autoSpaceDE/>
        <w:autoSpaceDN/>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）在相对集中的时间和区域内</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批号相对集中的同一药械引起临床表现相似的，且罕见的或非预期的不良反应（事件）人数</w:t>
      </w:r>
      <w:r>
        <w:rPr>
          <w:rFonts w:hint="default" w:ascii="Times New Roman" w:hAnsi="Times New Roman" w:eastAsia="方正仿宋_GBK" w:cs="Times New Roman"/>
          <w:b w:val="0"/>
          <w:bCs w:val="0"/>
          <w:spacing w:val="0"/>
          <w:w w:val="100"/>
          <w:position w:val="0"/>
          <w:sz w:val="32"/>
          <w:szCs w:val="32"/>
        </w:rPr>
        <w:t>50</w:t>
      </w:r>
      <w:r>
        <w:rPr>
          <w:rFonts w:hint="eastAsia" w:ascii="Times New Roman" w:hAnsi="Times New Roman" w:eastAsia="方正仿宋_GBK" w:cs="方正仿宋_GBK"/>
          <w:b w:val="0"/>
          <w:bCs w:val="0"/>
          <w:spacing w:val="0"/>
          <w:w w:val="100"/>
          <w:position w:val="0"/>
          <w:sz w:val="32"/>
          <w:szCs w:val="32"/>
        </w:rPr>
        <w:t>人（含）以上；或者引起特别严重不良反应（事件）</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可能对人体造成永久性伤残</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对器官功能造成永久性损伤或危及生命）人数</w:t>
      </w:r>
      <w:r>
        <w:rPr>
          <w:rFonts w:hint="default" w:ascii="Times New Roman" w:hAnsi="Times New Roman" w:eastAsia="方正仿宋_GBK" w:cs="Times New Roman"/>
          <w:b w:val="0"/>
          <w:bCs w:val="0"/>
          <w:spacing w:val="0"/>
          <w:w w:val="100"/>
          <w:position w:val="0"/>
          <w:sz w:val="32"/>
          <w:szCs w:val="32"/>
        </w:rPr>
        <w:t>10</w:t>
      </w:r>
      <w:r>
        <w:rPr>
          <w:rFonts w:hint="eastAsia" w:ascii="Times New Roman" w:hAnsi="Times New Roman" w:eastAsia="方正仿宋_GBK" w:cs="方正仿宋_GBK"/>
          <w:b w:val="0"/>
          <w:bCs w:val="0"/>
          <w:spacing w:val="0"/>
          <w:w w:val="100"/>
          <w:position w:val="0"/>
          <w:sz w:val="32"/>
          <w:szCs w:val="32"/>
        </w:rPr>
        <w:t>人（含）以上；</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2</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同一批号药械短期内引起</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人（含）以上患者死亡</w:t>
      </w:r>
      <w:r>
        <w:rPr>
          <w:rFonts w:hint="eastAsia" w:ascii="Times New Roman" w:hAnsi="Times New Roman" w:eastAsia="方正仿宋_GBK" w:cs="方正仿宋_GBK"/>
          <w:b w:val="0"/>
          <w:bCs w:val="0"/>
          <w:spacing w:val="0"/>
          <w:w w:val="100"/>
          <w:position w:val="0"/>
          <w:sz w:val="32"/>
          <w:szCs w:val="32"/>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）短期内</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个以上省份（含本市）因同一药械发生重大药械安全突发事件。</w:t>
      </w:r>
    </w:p>
    <w:p>
      <w:pPr>
        <w:pStyle w:val="3"/>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bookmarkStart w:id="46" w:name="_Toc565_WPSOffice_Level3"/>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 xml:space="preserve">  符合下列情形之一为重大药械安全突发事件：</w:t>
      </w:r>
      <w:bookmarkEnd w:id="46"/>
    </w:p>
    <w:p>
      <w:pPr>
        <w:pStyle w:val="3"/>
        <w:keepNext w:val="0"/>
        <w:keepLines w:val="0"/>
        <w:pageBreakBefore w:val="0"/>
        <w:widowControl w:val="0"/>
        <w:kinsoku/>
        <w:wordWrap/>
        <w:overflowPunct/>
        <w:topLinePunct w:val="0"/>
        <w:autoSpaceDE/>
        <w:autoSpaceDN/>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1</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在相对集中的时间和区域内，批号相对集中的同一药械引起临床表现相似的，且罕见的或非预期的不良反应（事件）人数</w:t>
      </w:r>
      <w:r>
        <w:rPr>
          <w:rFonts w:hint="default" w:ascii="Times New Roman" w:hAnsi="Times New Roman" w:eastAsia="方正仿宋_GBK" w:cs="Times New Roman"/>
          <w:b w:val="0"/>
          <w:bCs w:val="0"/>
          <w:spacing w:val="0"/>
          <w:w w:val="100"/>
          <w:position w:val="0"/>
          <w:sz w:val="32"/>
          <w:szCs w:val="32"/>
        </w:rPr>
        <w:t>30</w:t>
      </w:r>
      <w:r>
        <w:rPr>
          <w:rFonts w:hint="eastAsia" w:ascii="Times New Roman" w:hAnsi="Times New Roman" w:eastAsia="方正仿宋_GBK" w:cs="方正仿宋_GBK"/>
          <w:b w:val="0"/>
          <w:bCs w:val="0"/>
          <w:spacing w:val="0"/>
          <w:w w:val="100"/>
          <w:position w:val="0"/>
          <w:sz w:val="32"/>
          <w:szCs w:val="32"/>
        </w:rPr>
        <w:t>人（含）以上、</w:t>
      </w:r>
      <w:r>
        <w:rPr>
          <w:rFonts w:hint="default" w:ascii="Times New Roman" w:hAnsi="Times New Roman" w:eastAsia="方正仿宋_GBK" w:cs="Times New Roman"/>
          <w:b w:val="0"/>
          <w:bCs w:val="0"/>
          <w:spacing w:val="0"/>
          <w:w w:val="100"/>
          <w:position w:val="0"/>
          <w:sz w:val="32"/>
          <w:szCs w:val="32"/>
        </w:rPr>
        <w:t>50</w:t>
      </w:r>
      <w:r>
        <w:rPr>
          <w:rFonts w:hint="eastAsia" w:ascii="Times New Roman" w:hAnsi="Times New Roman" w:eastAsia="方正仿宋_GBK" w:cs="方正仿宋_GBK"/>
          <w:b w:val="0"/>
          <w:bCs w:val="0"/>
          <w:spacing w:val="0"/>
          <w:w w:val="100"/>
          <w:position w:val="0"/>
          <w:sz w:val="32"/>
          <w:szCs w:val="32"/>
        </w:rPr>
        <w:t>人以下；或者引起特别严重不良反应（事件）（可能对人体造成永久性伤残</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对器官功能造成永久性损伤或危及生命）人数</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人（含）以上、</w:t>
      </w:r>
      <w:r>
        <w:rPr>
          <w:rFonts w:hint="default" w:ascii="Times New Roman" w:hAnsi="Times New Roman" w:eastAsia="方正仿宋_GBK" w:cs="Times New Roman"/>
          <w:b w:val="0"/>
          <w:bCs w:val="0"/>
          <w:spacing w:val="0"/>
          <w:w w:val="100"/>
          <w:position w:val="0"/>
          <w:sz w:val="32"/>
          <w:szCs w:val="32"/>
        </w:rPr>
        <w:t>10</w:t>
      </w:r>
      <w:r>
        <w:rPr>
          <w:rFonts w:hint="eastAsia" w:ascii="Times New Roman" w:hAnsi="Times New Roman" w:eastAsia="方正仿宋_GBK" w:cs="方正仿宋_GBK"/>
          <w:b w:val="0"/>
          <w:bCs w:val="0"/>
          <w:spacing w:val="0"/>
          <w:w w:val="100"/>
          <w:position w:val="0"/>
          <w:sz w:val="32"/>
          <w:szCs w:val="32"/>
        </w:rPr>
        <w:t>人以下；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2</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同一批号药械短期内引起</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人以上、</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人以下患者死，且在同一区域内同时出现其他类似病例；</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）短期内我市</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个以上区县（含自治县、两江新区、西部科学城重庆高新区、万盛经开区，以下统称区县）因同一药械发生较大药械安全突发事件。</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bookmarkStart w:id="47" w:name="_Toc13450_WPSOffice_Level3"/>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 xml:space="preserve">  符合下列情形之一为较大药械安全突发事件：</w:t>
      </w:r>
      <w:bookmarkEnd w:id="47"/>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）在相对集中的时间和区域内，批号相对集中的同一药械引起临床表现相似的，且罕见的或非预期的不良反应（事件）的人数</w:t>
      </w:r>
      <w:r>
        <w:rPr>
          <w:rFonts w:hint="default" w:ascii="Times New Roman" w:hAnsi="Times New Roman" w:eastAsia="方正仿宋_GBK" w:cs="Times New Roman"/>
          <w:b w:val="0"/>
          <w:bCs w:val="0"/>
          <w:spacing w:val="0"/>
          <w:w w:val="100"/>
          <w:position w:val="0"/>
          <w:sz w:val="32"/>
          <w:szCs w:val="32"/>
        </w:rPr>
        <w:t>20</w:t>
      </w:r>
      <w:r>
        <w:rPr>
          <w:rFonts w:hint="eastAsia" w:ascii="Times New Roman" w:hAnsi="Times New Roman" w:eastAsia="方正仿宋_GBK" w:cs="方正仿宋_GBK"/>
          <w:b w:val="0"/>
          <w:bCs w:val="0"/>
          <w:spacing w:val="0"/>
          <w:w w:val="100"/>
          <w:position w:val="0"/>
          <w:sz w:val="32"/>
          <w:szCs w:val="32"/>
        </w:rPr>
        <w:t>人（含）以上、</w:t>
      </w:r>
      <w:r>
        <w:rPr>
          <w:rFonts w:hint="default" w:ascii="Times New Roman" w:hAnsi="Times New Roman" w:eastAsia="方正仿宋_GBK" w:cs="Times New Roman"/>
          <w:b w:val="0"/>
          <w:bCs w:val="0"/>
          <w:spacing w:val="0"/>
          <w:w w:val="100"/>
          <w:position w:val="0"/>
          <w:sz w:val="32"/>
          <w:szCs w:val="32"/>
        </w:rPr>
        <w:t>30</w:t>
      </w:r>
      <w:r>
        <w:rPr>
          <w:rFonts w:hint="eastAsia" w:ascii="Times New Roman" w:hAnsi="Times New Roman" w:eastAsia="方正仿宋_GBK" w:cs="方正仿宋_GBK"/>
          <w:b w:val="0"/>
          <w:bCs w:val="0"/>
          <w:spacing w:val="0"/>
          <w:w w:val="100"/>
          <w:position w:val="0"/>
          <w:sz w:val="32"/>
          <w:szCs w:val="32"/>
        </w:rPr>
        <w:t>人以下；或者引起特别严重不良反应（事件）（可能对人体造成永久性伤残、对器官功能造成永久性损伤或危及生命）的人数</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人（含）以上、</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人以下；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eastAsia" w:ascii="Times New Roman" w:hAnsi="Times New Roman" w:eastAsia="方正仿宋_GBK" w:cs="方正仿宋_GBK"/>
          <w:b w:val="0"/>
          <w:bCs w:val="0"/>
          <w:snapToGrid w:val="0"/>
          <w:color w:val="000000"/>
          <w:spacing w:val="0"/>
          <w:w w:val="100"/>
          <w:kern w:val="0"/>
          <w:position w:val="0"/>
          <w:sz w:val="32"/>
          <w:szCs w:val="32"/>
          <w:lang w:val="en-US" w:eastAsia="en-US" w:bidi="ar-SA"/>
        </w:rPr>
        <w:t>（</w:t>
      </w:r>
      <w:r>
        <w:rPr>
          <w:rFonts w:hint="default" w:ascii="Times New Roman" w:hAnsi="Times New Roman" w:eastAsia="方正仿宋_GBK" w:cs="Times New Roman"/>
          <w:b w:val="0"/>
          <w:bCs w:val="0"/>
          <w:snapToGrid w:val="0"/>
          <w:color w:val="000000"/>
          <w:spacing w:val="0"/>
          <w:w w:val="100"/>
          <w:kern w:val="0"/>
          <w:position w:val="0"/>
          <w:sz w:val="32"/>
          <w:szCs w:val="32"/>
          <w:lang w:val="en-US" w:eastAsia="en-US" w:bidi="ar-SA"/>
        </w:rPr>
        <w:t>2</w:t>
      </w:r>
      <w:r>
        <w:rPr>
          <w:rFonts w:hint="eastAsia" w:ascii="Times New Roman" w:hAnsi="Times New Roman" w:eastAsia="方正仿宋_GBK" w:cs="方正仿宋_GBK"/>
          <w:b w:val="0"/>
          <w:bCs w:val="0"/>
          <w:snapToGrid w:val="0"/>
          <w:color w:val="000000"/>
          <w:spacing w:val="0"/>
          <w:w w:val="100"/>
          <w:kern w:val="0"/>
          <w:position w:val="0"/>
          <w:sz w:val="32"/>
          <w:szCs w:val="32"/>
          <w:lang w:val="en-US" w:eastAsia="en-US" w:bidi="ar-SA"/>
        </w:rPr>
        <w:t>）</w:t>
      </w:r>
      <w:r>
        <w:rPr>
          <w:rFonts w:hint="eastAsia" w:ascii="Times New Roman" w:hAnsi="Times New Roman" w:eastAsia="方正仿宋_GBK" w:cs="方正仿宋_GBK"/>
          <w:b w:val="0"/>
          <w:bCs w:val="0"/>
          <w:spacing w:val="0"/>
          <w:w w:val="100"/>
          <w:position w:val="0"/>
          <w:sz w:val="32"/>
          <w:szCs w:val="32"/>
        </w:rPr>
        <w:t>同一批号药械短期内引起</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人（含）以下患者死亡，且</w:t>
      </w:r>
      <w:r>
        <w:rPr>
          <w:rFonts w:hint="eastAsia" w:ascii="Times New Roman" w:hAnsi="Times New Roman" w:eastAsia="方正仿宋_GBK" w:cs="方正仿宋_GBK"/>
          <w:b w:val="0"/>
          <w:bCs w:val="0"/>
          <w:spacing w:val="0"/>
          <w:w w:val="100"/>
          <w:position w:val="0"/>
          <w:sz w:val="32"/>
          <w:szCs w:val="32"/>
          <w:lang w:eastAsia="zh-CN"/>
        </w:rPr>
        <w:t>在同一区域内同时出现其他类似病例；</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3</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短期内我市</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个区县内</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个以上乡镇（街道）因同一药械发生一般药械安全突发事件。</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bookmarkStart w:id="48" w:name="_Toc15199_WPSOffice_Level3"/>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符合下列情形之一为一般药械安全突发事件：</w:t>
      </w:r>
      <w:bookmarkEnd w:id="48"/>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在相对集中的时间和区域内，批号相对集中的同一药械引起临床表现相似的</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且罕见的或非预期的不良反应（事件）的人数</w:t>
      </w:r>
      <w:r>
        <w:rPr>
          <w:rFonts w:hint="default" w:ascii="Times New Roman" w:hAnsi="Times New Roman" w:eastAsia="方正仿宋_GBK" w:cs="Times New Roman"/>
          <w:b w:val="0"/>
          <w:bCs w:val="0"/>
          <w:spacing w:val="0"/>
          <w:w w:val="100"/>
          <w:position w:val="0"/>
          <w:sz w:val="32"/>
          <w:szCs w:val="32"/>
        </w:rPr>
        <w:t>10</w:t>
      </w:r>
      <w:r>
        <w:rPr>
          <w:rFonts w:hint="eastAsia" w:ascii="Times New Roman" w:hAnsi="Times New Roman" w:eastAsia="方正仿宋_GBK" w:cs="方正仿宋_GBK"/>
          <w:b w:val="0"/>
          <w:bCs w:val="0"/>
          <w:spacing w:val="0"/>
          <w:w w:val="100"/>
          <w:position w:val="0"/>
          <w:sz w:val="32"/>
          <w:szCs w:val="32"/>
        </w:rPr>
        <w:t>人（含）以上、</w:t>
      </w:r>
      <w:r>
        <w:rPr>
          <w:rFonts w:hint="default" w:ascii="Times New Roman" w:hAnsi="Times New Roman" w:eastAsia="方正仿宋_GBK" w:cs="Times New Roman"/>
          <w:b w:val="0"/>
          <w:bCs w:val="0"/>
          <w:spacing w:val="0"/>
          <w:w w:val="100"/>
          <w:position w:val="0"/>
          <w:sz w:val="32"/>
          <w:szCs w:val="32"/>
        </w:rPr>
        <w:t>20</w:t>
      </w:r>
      <w:r>
        <w:rPr>
          <w:rFonts w:hint="eastAsia" w:ascii="Times New Roman" w:hAnsi="Times New Roman" w:eastAsia="方正仿宋_GBK" w:cs="方正仿宋_GBK"/>
          <w:b w:val="0"/>
          <w:bCs w:val="0"/>
          <w:spacing w:val="0"/>
          <w:w w:val="100"/>
          <w:position w:val="0"/>
          <w:sz w:val="32"/>
          <w:szCs w:val="32"/>
        </w:rPr>
        <w:t>人以下；或者引起特别严重不良反应（事件</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可能对人体造成永久性伤残、对器官功能造成永久性损伤或危及生命）的人数为</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人。</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632" w:firstLineChars="200"/>
        <w:jc w:val="both"/>
        <w:textAlignment w:val="baseline"/>
        <w:rPr>
          <w:rFonts w:hint="default" w:ascii="Times New Roman" w:hAnsi="Times New Roman" w:eastAsia="方正黑体_GBK" w:cs="Times New Roman"/>
          <w:b w:val="0"/>
          <w:bCs w:val="0"/>
          <w:spacing w:val="0"/>
          <w:w w:val="100"/>
          <w:position w:val="0"/>
          <w:sz w:val="32"/>
          <w:szCs w:val="32"/>
        </w:rPr>
      </w:pPr>
      <w:bookmarkStart w:id="49" w:name="_Toc25796_WPSOffice_Level1"/>
      <w:r>
        <w:rPr>
          <w:rFonts w:hint="default" w:ascii="Times New Roman" w:hAnsi="Times New Roman" w:eastAsia="方正黑体_GBK" w:cs="Times New Roman"/>
          <w:b w:val="0"/>
          <w:bCs w:val="0"/>
          <w:spacing w:val="0"/>
          <w:w w:val="100"/>
          <w:position w:val="0"/>
          <w:sz w:val="32"/>
          <w:szCs w:val="32"/>
        </w:rPr>
        <w:t>2  组织指挥体系</w:t>
      </w:r>
      <w:bookmarkEnd w:id="49"/>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50" w:name="_Toc8697_WPSOffice_Level2"/>
      <w:r>
        <w:rPr>
          <w:rFonts w:hint="eastAsia" w:ascii="Times New Roman" w:hAnsi="Times New Roman" w:eastAsia="方正楷体_GBK" w:cs="方正楷体_GBK"/>
          <w:b w:val="0"/>
          <w:bCs w:val="0"/>
          <w:spacing w:val="0"/>
          <w:w w:val="100"/>
          <w:position w:val="0"/>
          <w:sz w:val="32"/>
          <w:szCs w:val="32"/>
        </w:rPr>
        <w:t xml:space="preserve">2.1 </w:t>
      </w:r>
      <w:r>
        <w:rPr>
          <w:rFonts w:hint="eastAsia" w:ascii="Times New Roman" w:hAnsi="Times New Roman" w:eastAsia="方正楷体_GBK" w:cs="方正楷体_GBK"/>
          <w:b w:val="0"/>
          <w:bCs w:val="0"/>
          <w:spacing w:val="0"/>
          <w:w w:val="100"/>
          <w:position w:val="0"/>
          <w:sz w:val="32"/>
          <w:szCs w:val="32"/>
          <w:lang w:val="en-US" w:eastAsia="zh-CN"/>
        </w:rPr>
        <w:t xml:space="preserve"> </w:t>
      </w:r>
      <w:r>
        <w:rPr>
          <w:rFonts w:hint="eastAsia" w:ascii="Times New Roman" w:hAnsi="Times New Roman" w:eastAsia="方正楷体_GBK" w:cs="方正楷体_GBK"/>
          <w:b w:val="0"/>
          <w:bCs w:val="0"/>
          <w:spacing w:val="0"/>
          <w:w w:val="100"/>
          <w:position w:val="0"/>
          <w:sz w:val="32"/>
          <w:szCs w:val="32"/>
        </w:rPr>
        <w:t>县级层面组织指挥体系</w:t>
      </w:r>
      <w:bookmarkEnd w:id="50"/>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较大、一般药械安全突发事件发生后，县市场监管局报请县政府启动应急预案，在县委</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县政府的统一领导下，成立县药械安全突发事件应急处置指挥部（以下简称县指挥部）。县指挥部实行指挥长负责制</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由指挥长、副指挥长、成员组成</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指挥长由分管药品安全的县政府副县长担任，副指挥长由县政府办公有关副主任以及县市场监管局、县卫生健康委主要负责人担任，县级有关部门、有关单位和事发地乡镇</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lang w:val="en-US" w:eastAsia="zh-CN"/>
        </w:rPr>
        <w:t>街道）</w:t>
      </w:r>
      <w:r>
        <w:rPr>
          <w:rFonts w:hint="eastAsia" w:ascii="Times New Roman" w:hAnsi="Times New Roman" w:eastAsia="方正仿宋_GBK" w:cs="方正仿宋_GBK"/>
          <w:b w:val="0"/>
          <w:bCs w:val="0"/>
          <w:spacing w:val="0"/>
          <w:w w:val="100"/>
          <w:position w:val="0"/>
          <w:sz w:val="32"/>
          <w:szCs w:val="32"/>
        </w:rPr>
        <w:t>有关负责人为成员。重大、特别重大药械安全突发事件发生后，县委、县政府在市药械安全突发事件应急处置指挥部的指导下开展先期处置工作。县指挥部组成及职责见附件</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县指挥部下设综合协调组、医疗救治组、事件调查组、危害控制组、新闻宣传组、社会稳定组、应急保障组、专家咨询组。各工作组在县指挥部的统一指挥下，按照各自职责做好相关工作。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51" w:name="_Toc1805_WPSOffice_Level2"/>
      <w:r>
        <w:rPr>
          <w:rFonts w:hint="eastAsia" w:ascii="Times New Roman" w:hAnsi="Times New Roman" w:eastAsia="方正楷体_GBK" w:cs="方正楷体_GBK"/>
          <w:b w:val="0"/>
          <w:bCs w:val="0"/>
          <w:spacing w:val="0"/>
          <w:w w:val="100"/>
          <w:position w:val="0"/>
          <w:sz w:val="32"/>
          <w:szCs w:val="32"/>
        </w:rPr>
        <w:t>2.2</w:t>
      </w:r>
      <w:r>
        <w:rPr>
          <w:rFonts w:hint="eastAsia" w:ascii="Times New Roman" w:hAnsi="Times New Roman" w:eastAsia="方正楷体_GBK" w:cs="方正楷体_GBK"/>
          <w:b w:val="0"/>
          <w:bCs w:val="0"/>
          <w:spacing w:val="0"/>
          <w:w w:val="100"/>
          <w:position w:val="0"/>
          <w:sz w:val="32"/>
          <w:szCs w:val="32"/>
          <w:lang w:val="en-US" w:eastAsia="zh-CN"/>
        </w:rPr>
        <w:t xml:space="preserve">  </w:t>
      </w:r>
      <w:r>
        <w:rPr>
          <w:rFonts w:hint="eastAsia" w:ascii="Times New Roman" w:hAnsi="Times New Roman" w:eastAsia="方正楷体_GBK" w:cs="方正楷体_GBK"/>
          <w:b w:val="0"/>
          <w:bCs w:val="0"/>
          <w:spacing w:val="0"/>
          <w:w w:val="100"/>
          <w:position w:val="0"/>
          <w:sz w:val="32"/>
          <w:szCs w:val="32"/>
        </w:rPr>
        <w:t>乡镇层面组织指挥体系</w:t>
      </w:r>
      <w:bookmarkEnd w:id="51"/>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乡镇</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lang w:val="en-US" w:eastAsia="zh-CN"/>
        </w:rPr>
        <w:t>街道）</w:t>
      </w:r>
      <w:r>
        <w:rPr>
          <w:rFonts w:hint="eastAsia" w:ascii="Times New Roman" w:hAnsi="Times New Roman" w:eastAsia="方正仿宋_GBK" w:cs="方正仿宋_GBK"/>
          <w:b w:val="0"/>
          <w:bCs w:val="0"/>
          <w:spacing w:val="0"/>
          <w:w w:val="100"/>
          <w:position w:val="0"/>
          <w:sz w:val="32"/>
          <w:szCs w:val="32"/>
        </w:rPr>
        <w:t>参照县级层面设立本行政区域药械安全突发事件应急</w:t>
      </w:r>
      <w:r>
        <w:rPr>
          <w:rFonts w:hint="eastAsia" w:ascii="Times New Roman" w:hAnsi="Times New Roman" w:eastAsia="方正仿宋_GBK" w:cs="方正仿宋_GBK"/>
          <w:b w:val="0"/>
          <w:bCs w:val="0"/>
          <w:spacing w:val="0"/>
          <w:w w:val="100"/>
          <w:position w:val="0"/>
          <w:sz w:val="32"/>
          <w:szCs w:val="32"/>
          <w:lang w:eastAsia="zh-CN"/>
        </w:rPr>
        <w:t>处置指挥部，负责本行政区域内一般药械安全突发事件的应对处置工作，对较大药械安全突发事件进行先期处置。</w:t>
      </w:r>
      <w:r>
        <w:rPr>
          <w:rFonts w:hint="eastAsia" w:ascii="Times New Roman" w:hAnsi="Times New Roman" w:eastAsia="方正仿宋_GBK" w:cs="方正仿宋_GBK"/>
          <w:b w:val="0"/>
          <w:bCs w:val="0"/>
          <w:spacing w:val="0"/>
          <w:w w:val="100"/>
          <w:position w:val="0"/>
          <w:sz w:val="32"/>
          <w:szCs w:val="32"/>
        </w:rPr>
        <w:t xml:space="preserve"> </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52" w:name="_Toc28906_WPSOffice_Level2"/>
      <w:r>
        <w:rPr>
          <w:rFonts w:hint="eastAsia" w:ascii="Times New Roman" w:hAnsi="Times New Roman" w:eastAsia="方正楷体_GBK" w:cs="方正楷体_GBK"/>
          <w:b w:val="0"/>
          <w:bCs w:val="0"/>
          <w:spacing w:val="0"/>
          <w:w w:val="100"/>
          <w:position w:val="0"/>
          <w:sz w:val="32"/>
          <w:szCs w:val="32"/>
        </w:rPr>
        <w:t>2.3  专业技术机构</w:t>
      </w:r>
      <w:bookmarkEnd w:id="52"/>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eastAsia" w:ascii="Times New Roman" w:hAnsi="Times New Roman" w:eastAsia="方正仿宋_GBK" w:cs="方正仿宋_GBK"/>
          <w:b w:val="0"/>
          <w:bCs w:val="0"/>
          <w:spacing w:val="0"/>
          <w:w w:val="100"/>
          <w:position w:val="0"/>
          <w:sz w:val="32"/>
          <w:szCs w:val="32"/>
        </w:rPr>
        <w:t>主要包括药械抽样送检机构、药品不良反应监测机构、疾病</w:t>
      </w:r>
      <w:r>
        <w:rPr>
          <w:rFonts w:hint="eastAsia" w:ascii="Times New Roman" w:hAnsi="Times New Roman" w:eastAsia="方正仿宋_GBK" w:cs="方正仿宋_GBK"/>
          <w:b w:val="0"/>
          <w:bCs w:val="0"/>
          <w:spacing w:val="0"/>
          <w:w w:val="100"/>
          <w:position w:val="0"/>
          <w:sz w:val="32"/>
          <w:szCs w:val="32"/>
          <w:lang w:eastAsia="zh-CN"/>
        </w:rPr>
        <w:t>预防控制机构、各级医疗机构。</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lang w:val="en-US" w:eastAsia="zh-CN"/>
        </w:rPr>
        <w:t>1</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药械抽样机构</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县市场监管局负责对事件相关药品、</w:t>
      </w:r>
      <w:r>
        <w:rPr>
          <w:rFonts w:hint="eastAsia" w:ascii="Times New Roman" w:hAnsi="Times New Roman" w:eastAsia="方正仿宋_GBK" w:cs="方正仿宋_GBK"/>
          <w:b w:val="0"/>
          <w:bCs w:val="0"/>
          <w:spacing w:val="0"/>
          <w:w w:val="100"/>
          <w:position w:val="0"/>
          <w:sz w:val="32"/>
          <w:szCs w:val="32"/>
          <w:lang w:eastAsia="zh-CN"/>
        </w:rPr>
        <w:t>医疗器械进行抽样送药械检验机构检验。</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药品不良反应监测机构。县市场监管局负责药品不良反应、医疗器械不良事件以及药物滥用信息收集、评价、汇总</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上报工作，及时出具评价报告。</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 xml:space="preserve">  各级医疗机构。负责做好药品不良反应和医疗器械不良事件以及药物滥用的发现和报告工作，加强药械管理，负责事件发生后的病人救治工作，配合完成应对处置相关工作。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 xml:space="preserve">  疾病预防控制机构</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负责协助调查事件危害程度和开</w:t>
      </w:r>
      <w:r>
        <w:rPr>
          <w:rFonts w:hint="eastAsia" w:ascii="Times New Roman" w:hAnsi="Times New Roman" w:eastAsia="方正仿宋_GBK" w:cs="方正仿宋_GBK"/>
          <w:b w:val="0"/>
          <w:bCs w:val="0"/>
          <w:spacing w:val="0"/>
          <w:w w:val="100"/>
          <w:position w:val="0"/>
          <w:sz w:val="32"/>
          <w:szCs w:val="32"/>
          <w:lang w:eastAsia="zh-CN"/>
        </w:rPr>
        <w:t>展医疗救治，配合完成应对处置相关工作。</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right="0" w:firstLine="632" w:firstLineChars="200"/>
        <w:jc w:val="both"/>
        <w:textAlignment w:val="baseline"/>
        <w:rPr>
          <w:rFonts w:hint="eastAsia" w:ascii="Times New Roman" w:hAnsi="Times New Roman" w:eastAsia="方正正黑_GBK" w:cs="方正正黑_GBK"/>
          <w:b w:val="0"/>
          <w:bCs w:val="0"/>
          <w:spacing w:val="0"/>
          <w:w w:val="100"/>
          <w:position w:val="0"/>
          <w:sz w:val="32"/>
          <w:szCs w:val="32"/>
        </w:rPr>
      </w:pPr>
      <w:bookmarkStart w:id="53" w:name="_Toc23158_WPSOffice_Level1"/>
      <w:r>
        <w:rPr>
          <w:rFonts w:hint="default" w:ascii="Times New Roman" w:hAnsi="Times New Roman" w:eastAsia="方正正黑_GBK" w:cs="Times New Roman"/>
          <w:b w:val="0"/>
          <w:bCs w:val="0"/>
          <w:spacing w:val="0"/>
          <w:w w:val="100"/>
          <w:position w:val="0"/>
          <w:sz w:val="32"/>
          <w:szCs w:val="32"/>
        </w:rPr>
        <w:t>3</w:t>
      </w:r>
      <w:r>
        <w:rPr>
          <w:rFonts w:hint="eastAsia" w:ascii="Times New Roman" w:hAnsi="Times New Roman" w:eastAsia="方正正黑_GBK" w:cs="方正正黑_GBK"/>
          <w:b w:val="0"/>
          <w:bCs w:val="0"/>
          <w:spacing w:val="0"/>
          <w:w w:val="100"/>
          <w:position w:val="0"/>
          <w:sz w:val="32"/>
          <w:szCs w:val="32"/>
        </w:rPr>
        <w:t xml:space="preserve">  监测与预警</w:t>
      </w:r>
      <w:bookmarkEnd w:id="53"/>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54" w:name="_Toc4378_WPSOffice_Level2"/>
      <w:r>
        <w:rPr>
          <w:rFonts w:hint="eastAsia" w:ascii="Times New Roman" w:hAnsi="Times New Roman" w:eastAsia="方正楷体_GBK" w:cs="方正楷体_GBK"/>
          <w:b w:val="0"/>
          <w:bCs w:val="0"/>
          <w:spacing w:val="0"/>
          <w:w w:val="100"/>
          <w:position w:val="0"/>
          <w:sz w:val="32"/>
          <w:szCs w:val="32"/>
        </w:rPr>
        <w:t>3.1  监测</w:t>
      </w:r>
      <w:bookmarkEnd w:id="54"/>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 xml:space="preserve">  县市场监管局、县卫生健康委要按照职责分工，开展药械日常监督检查、质量监测、不良反应（事件）监测和药物滥用监测等工作</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收集、分析和研判可能导致药械安全突发事件的风险隐患信息。</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 xml:space="preserve">  </w:t>
      </w:r>
      <w:r>
        <w:rPr>
          <w:rFonts w:hint="eastAsia" w:ascii="Times New Roman" w:hAnsi="Times New Roman" w:eastAsia="方正仿宋_GBK" w:cs="方正仿宋_GBK"/>
          <w:b w:val="0"/>
          <w:bCs w:val="0"/>
          <w:spacing w:val="0"/>
          <w:w w:val="100"/>
          <w:position w:val="0"/>
          <w:sz w:val="32"/>
          <w:szCs w:val="32"/>
          <w:lang w:val="en-US" w:eastAsia="zh-CN"/>
        </w:rPr>
        <w:t>县委网信办</w:t>
      </w:r>
      <w:r>
        <w:rPr>
          <w:rFonts w:hint="eastAsia" w:ascii="Times New Roman" w:hAnsi="Times New Roman" w:eastAsia="方正仿宋_GBK" w:cs="方正仿宋_GBK"/>
          <w:b w:val="0"/>
          <w:bCs w:val="0"/>
          <w:spacing w:val="0"/>
          <w:w w:val="100"/>
          <w:position w:val="0"/>
          <w:sz w:val="32"/>
          <w:szCs w:val="32"/>
        </w:rPr>
        <w:t>、县公安局、县司法局、县生态</w:t>
      </w:r>
      <w:r>
        <w:rPr>
          <w:rFonts w:hint="eastAsia" w:ascii="Times New Roman" w:hAnsi="Times New Roman" w:eastAsia="方正仿宋_GBK" w:cs="方正仿宋_GBK"/>
          <w:b w:val="0"/>
          <w:bCs w:val="0"/>
          <w:spacing w:val="0"/>
          <w:w w:val="100"/>
          <w:position w:val="0"/>
          <w:sz w:val="32"/>
          <w:szCs w:val="32"/>
          <w:lang w:eastAsia="zh-CN"/>
        </w:rPr>
        <w:t>环境局等部门要加强本行业领域药械安全突发事件信息的舆情日常监测，并第一时间将可能引发药械安全突发事件的信息通报县市场监管局。</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县市场监管局要及时分析研判监测结果、发展趋势，</w:t>
      </w:r>
      <w:r>
        <w:rPr>
          <w:rFonts w:hint="eastAsia" w:ascii="Times New Roman" w:hAnsi="Times New Roman" w:eastAsia="方正仿宋_GBK" w:cs="方正仿宋_GBK"/>
          <w:b w:val="0"/>
          <w:bCs w:val="0"/>
          <w:spacing w:val="0"/>
          <w:w w:val="100"/>
          <w:position w:val="0"/>
          <w:sz w:val="32"/>
          <w:szCs w:val="32"/>
          <w:lang w:eastAsia="zh-CN"/>
        </w:rPr>
        <w:t>预估可能造成的危害程度，及时报县指挥部发布预警信息。</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楷体_GB2312" w:cs="方正楷体_GB2312"/>
          <w:b w:val="0"/>
          <w:bCs w:val="0"/>
          <w:spacing w:val="0"/>
          <w:w w:val="100"/>
          <w:position w:val="0"/>
          <w:sz w:val="32"/>
          <w:szCs w:val="32"/>
        </w:rPr>
      </w:pPr>
      <w:bookmarkStart w:id="55" w:name="_Toc6469_WPSOffice_Level2"/>
      <w:r>
        <w:rPr>
          <w:rFonts w:hint="default" w:ascii="Times New Roman" w:hAnsi="Times New Roman" w:eastAsia="方正楷体_GB2312" w:cs="Times New Roman"/>
          <w:b w:val="0"/>
          <w:bCs w:val="0"/>
          <w:spacing w:val="0"/>
          <w:w w:val="100"/>
          <w:position w:val="0"/>
          <w:sz w:val="32"/>
          <w:szCs w:val="32"/>
        </w:rPr>
        <w:t>3</w:t>
      </w:r>
      <w:r>
        <w:rPr>
          <w:rFonts w:hint="eastAsia" w:ascii="Times New Roman" w:hAnsi="Times New Roman" w:eastAsia="方正楷体_GB2312" w:cs="方正楷体_GB2312"/>
          <w:b w:val="0"/>
          <w:bCs w:val="0"/>
          <w:spacing w:val="0"/>
          <w:w w:val="100"/>
          <w:position w:val="0"/>
          <w:sz w:val="32"/>
          <w:szCs w:val="32"/>
        </w:rPr>
        <w:t>.</w:t>
      </w:r>
      <w:r>
        <w:rPr>
          <w:rFonts w:hint="default" w:ascii="Times New Roman" w:hAnsi="Times New Roman" w:eastAsia="方正楷体_GB2312" w:cs="Times New Roman"/>
          <w:b w:val="0"/>
          <w:bCs w:val="0"/>
          <w:spacing w:val="0"/>
          <w:w w:val="100"/>
          <w:position w:val="0"/>
          <w:sz w:val="32"/>
          <w:szCs w:val="32"/>
          <w:lang w:val="en-US" w:eastAsia="zh-CN"/>
        </w:rPr>
        <w:t>2</w:t>
      </w:r>
      <w:r>
        <w:rPr>
          <w:rFonts w:hint="eastAsia" w:ascii="Times New Roman" w:hAnsi="Times New Roman" w:eastAsia="方正楷体_GB2312" w:cs="方正楷体_GB2312"/>
          <w:b w:val="0"/>
          <w:bCs w:val="0"/>
          <w:spacing w:val="0"/>
          <w:w w:val="100"/>
          <w:position w:val="0"/>
          <w:sz w:val="32"/>
          <w:szCs w:val="32"/>
        </w:rPr>
        <w:t xml:space="preserve">   </w:t>
      </w:r>
      <w:r>
        <w:rPr>
          <w:rFonts w:hint="eastAsia" w:ascii="Times New Roman" w:hAnsi="Times New Roman" w:eastAsia="方正楷体_GB2312" w:cs="方正楷体_GB2312"/>
          <w:b w:val="0"/>
          <w:bCs w:val="0"/>
          <w:spacing w:val="0"/>
          <w:w w:val="100"/>
          <w:position w:val="0"/>
          <w:sz w:val="32"/>
          <w:szCs w:val="32"/>
          <w:lang w:eastAsia="zh-CN"/>
        </w:rPr>
        <w:t>预警</w:t>
      </w:r>
      <w:bookmarkEnd w:id="55"/>
      <w:r>
        <w:rPr>
          <w:rFonts w:hint="eastAsia" w:ascii="Times New Roman" w:hAnsi="Times New Roman" w:eastAsia="方正仿宋_GBK" w:cs="方正仿宋_GBK"/>
          <w:b w:val="0"/>
          <w:bCs w:val="0"/>
          <w:spacing w:val="0"/>
          <w:w w:val="100"/>
          <w:position w:val="0"/>
          <w:sz w:val="32"/>
          <w:szCs w:val="32"/>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 xml:space="preserve"> 预警分级</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eastAsia" w:ascii="Times New Roman" w:hAnsi="Times New Roman" w:eastAsia="方正仿宋_GBK" w:cs="方正仿宋_GBK"/>
          <w:b w:val="0"/>
          <w:bCs w:val="0"/>
          <w:spacing w:val="0"/>
          <w:w w:val="100"/>
          <w:position w:val="0"/>
          <w:sz w:val="32"/>
          <w:szCs w:val="32"/>
        </w:rPr>
        <w:t>药械安全突发事件预警分为一级、二级、三级、四级，分别</w:t>
      </w:r>
      <w:r>
        <w:rPr>
          <w:rFonts w:hint="eastAsia" w:ascii="Times New Roman" w:hAnsi="Times New Roman" w:eastAsia="方正仿宋_GBK" w:cs="方正仿宋_GBK"/>
          <w:b w:val="0"/>
          <w:bCs w:val="0"/>
          <w:spacing w:val="0"/>
          <w:w w:val="100"/>
          <w:position w:val="0"/>
          <w:sz w:val="32"/>
          <w:szCs w:val="32"/>
          <w:lang w:eastAsia="zh-CN"/>
        </w:rPr>
        <w:t>用红色、橙色、黄色和蓝色标示。</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一级预警：有可能发生特别重大药械安全突发事件；发生重大药械安全突发事件。</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二级预警：有可能发生重大药械安全突发事件；发生较大药械安全突发事件。</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三级预警：有可能发生较大药械安全突发事件；发生一般药械安全突发事件。</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四级预警：有可能发生一般药械安全突发事件。</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 xml:space="preserve">  预警信息发布主体</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一级、二级预警信息由市药监局发布（同步报市政府总值班室）。三级、四级预警信息县市场监管局报请县指挥部，由县指挥部发布（同步报市政府总值班室）。</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 xml:space="preserve">  预警信息发布</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预警信息要素包括发布单位、发布时间、可能发生突发事件的类别、起始时间、可能影响的范围、预警级别、警示事项、事态发展、已采取措施、联系人及电话等内容。预警信息主要通过市突发事件预警信息发布系统传递信息，同步通过广播、电视、手机、报刊、通信与信息网络等方式对外公布，对特定人群、特殊场所实行逐户通知或针对性通知。</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 xml:space="preserve">  预警行动</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一、二级预警信息发布后，由市药监局、市卫生健康委等部门，县政府根据实际情况采取相应预警措施。</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三、四级预警信息发布后，县市场监管局、县卫生健康委等部门，涉事乡镇（街道）应视情采取以下预警措施：</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）分析研判。县市场监管局及时组织有关部门、机构、专家分析研判发展趋势、影响范围和危害程度以及事件级别</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研究制定相应的防范措施。</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）加强监测。县市场监管局、县卫生健康委动态监测事件发展态势，增加监测内容和频次，实时对相关信息进行分析评估，并根据情况调整预警信息。</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防范措施。县市场监管局根据分析评估结果，责令相关企业采取暂停销售、使用和召回药械等风险控制措施，同时将采取的措施通报县卫生健康委。涉事乡镇（街道）对药械流通环节开展排查工作，并根据情况及时报请上级有关部门予以支持和指导。</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4</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应急准备。县市场监管局、县卫生健康委会同县有关部门、有关单位做好人员、物资、装备和设备等准备工作；县市场监管局做好报请县政府启动应急预案准备。</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）舆论引导。县市场监管局对相关药械安全及可能存在的危害进行科学提示，公布咨询电话。</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6</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信息互通。县市场监管局及时向县有关部门、相关区县通报预警信息。</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各</w:t>
      </w:r>
      <w:r>
        <w:rPr>
          <w:rFonts w:hint="eastAsia" w:ascii="Times New Roman" w:hAnsi="Times New Roman" w:eastAsia="方正仿宋_GBK" w:cs="方正仿宋_GBK"/>
          <w:b w:val="0"/>
          <w:bCs w:val="0"/>
          <w:spacing w:val="0"/>
          <w:w w:val="100"/>
          <w:position w:val="0"/>
          <w:sz w:val="32"/>
          <w:szCs w:val="32"/>
        </w:rPr>
        <w:t>乡镇（街道）可参照本预警措施制定相应等级的预警措施。</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 xml:space="preserve">  预警调整与解除</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预警信息发布部门应根据药械安全突发事件发展态势和处置情况，经专家研判后，按规定的权限和程序调整预警级别并重新发布；经研判可能引发事件的因素已消除或得到有效控制，应当及时解除。</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632" w:firstLineChars="200"/>
        <w:jc w:val="both"/>
        <w:textAlignment w:val="baseline"/>
        <w:rPr>
          <w:rFonts w:hint="eastAsia" w:ascii="Times New Roman" w:hAnsi="Times New Roman" w:eastAsia="方正正黑_GBK" w:cs="方正正黑_GBK"/>
          <w:b w:val="0"/>
          <w:bCs w:val="0"/>
          <w:spacing w:val="0"/>
          <w:w w:val="100"/>
          <w:position w:val="0"/>
          <w:sz w:val="32"/>
          <w:szCs w:val="32"/>
        </w:rPr>
      </w:pPr>
      <w:bookmarkStart w:id="56" w:name="_Toc10930_WPSOffice_Level1"/>
      <w:r>
        <w:rPr>
          <w:rFonts w:hint="default" w:ascii="Times New Roman" w:hAnsi="Times New Roman" w:eastAsia="方正正黑_GBK" w:cs="Times New Roman"/>
          <w:b w:val="0"/>
          <w:bCs w:val="0"/>
          <w:spacing w:val="0"/>
          <w:w w:val="100"/>
          <w:position w:val="0"/>
          <w:sz w:val="32"/>
          <w:szCs w:val="32"/>
        </w:rPr>
        <w:t>4</w:t>
      </w:r>
      <w:r>
        <w:rPr>
          <w:rFonts w:hint="eastAsia" w:ascii="Times New Roman" w:hAnsi="Times New Roman" w:eastAsia="方正正黑_GBK" w:cs="方正正黑_GBK"/>
          <w:b w:val="0"/>
          <w:bCs w:val="0"/>
          <w:spacing w:val="0"/>
          <w:w w:val="100"/>
          <w:position w:val="0"/>
          <w:sz w:val="32"/>
          <w:szCs w:val="32"/>
        </w:rPr>
        <w:t xml:space="preserve">  应急处置与救援</w:t>
      </w:r>
      <w:bookmarkEnd w:id="56"/>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楷体_GBK" w:cs="方正楷体_GBK"/>
          <w:b w:val="0"/>
          <w:bCs w:val="0"/>
          <w:spacing w:val="0"/>
          <w:w w:val="100"/>
          <w:position w:val="0"/>
          <w:sz w:val="32"/>
          <w:szCs w:val="32"/>
        </w:rPr>
      </w:pPr>
      <w:bookmarkStart w:id="57" w:name="_Toc11790_WPSOffice_Level2"/>
      <w:r>
        <w:rPr>
          <w:rFonts w:hint="eastAsia" w:ascii="Times New Roman" w:hAnsi="Times New Roman" w:eastAsia="方正楷体_GBK" w:cs="方正楷体_GBK"/>
          <w:b w:val="0"/>
          <w:bCs w:val="0"/>
          <w:spacing w:val="0"/>
          <w:w w:val="100"/>
          <w:position w:val="0"/>
          <w:sz w:val="32"/>
          <w:szCs w:val="32"/>
        </w:rPr>
        <w:t>4.1  信息报告</w:t>
      </w:r>
      <w:bookmarkEnd w:id="57"/>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报告程序</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药械经营企业、使用单位、医疗卫生机构、戒毒机构等发现或获知药械安全突发事件，应立即向县市场监管局、县卫生健康委报告，县卫生健康委从其他渠道获得的药械安全突发事件信息，应及时通报县市场监管局。涉及药品批发企业的，县市场监管局应在</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小时内向市药监局报告。</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）药品不良反应监测机构对获知的药品不良反应或医疗器械不良事件应及时调查核实和分析研判，发现达到药械安全</w:t>
      </w:r>
      <w:r>
        <w:rPr>
          <w:rFonts w:hint="eastAsia" w:ascii="Times New Roman" w:hAnsi="Times New Roman" w:eastAsia="方正仿宋_GBK" w:cs="方正仿宋_GBK"/>
          <w:b w:val="0"/>
          <w:bCs w:val="0"/>
          <w:spacing w:val="0"/>
          <w:w w:val="100"/>
          <w:position w:val="0"/>
          <w:sz w:val="32"/>
          <w:szCs w:val="32"/>
          <w:lang w:eastAsia="zh-CN"/>
        </w:rPr>
        <w:t>突发</w:t>
      </w:r>
      <w:r>
        <w:rPr>
          <w:rFonts w:hint="eastAsia" w:ascii="Times New Roman" w:hAnsi="Times New Roman" w:eastAsia="方正仿宋_GBK" w:cs="方正仿宋_GBK"/>
          <w:b w:val="0"/>
          <w:bCs w:val="0"/>
          <w:spacing w:val="0"/>
          <w:w w:val="100"/>
          <w:position w:val="0"/>
          <w:sz w:val="32"/>
          <w:szCs w:val="32"/>
        </w:rPr>
        <w:t>事件标准的，应在</w:t>
      </w:r>
      <w:r>
        <w:rPr>
          <w:rFonts w:hint="default" w:ascii="Times New Roman" w:hAnsi="Times New Roman" w:eastAsia="方正仿宋_GBK" w:cs="Times New Roman"/>
          <w:b w:val="0"/>
          <w:bCs w:val="0"/>
          <w:spacing w:val="0"/>
          <w:w w:val="100"/>
          <w:position w:val="0"/>
          <w:sz w:val="32"/>
          <w:szCs w:val="32"/>
        </w:rPr>
        <w:t>30</w:t>
      </w:r>
      <w:r>
        <w:rPr>
          <w:rFonts w:hint="eastAsia" w:ascii="Times New Roman" w:hAnsi="Times New Roman" w:eastAsia="方正仿宋_GBK" w:cs="方正仿宋_GBK"/>
          <w:b w:val="0"/>
          <w:bCs w:val="0"/>
          <w:spacing w:val="0"/>
          <w:w w:val="100"/>
          <w:position w:val="0"/>
          <w:sz w:val="32"/>
          <w:szCs w:val="32"/>
        </w:rPr>
        <w:t>分钟内向县市场监管局电话报告。</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）接药械安全突发事件报告后，县市场监管局会同县卫生健康委，立即组织有监管职责的部门和专业技术机构进行现场调查核实，初步研判事件等级及发展趋势，并将核实情况和研判结果在接报后</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小时内向县政府、市市场监管局、市药监局报告；初步判断为重大或特别重大药械安全突发事件的，应在接报后</w:t>
      </w:r>
      <w:r>
        <w:rPr>
          <w:rFonts w:hint="default" w:ascii="Times New Roman" w:hAnsi="Times New Roman" w:eastAsia="方正仿宋_GBK" w:cs="Times New Roman"/>
          <w:b w:val="0"/>
          <w:bCs w:val="0"/>
          <w:spacing w:val="0"/>
          <w:w w:val="100"/>
          <w:position w:val="0"/>
          <w:sz w:val="32"/>
          <w:szCs w:val="32"/>
        </w:rPr>
        <w:t>30</w:t>
      </w:r>
      <w:r>
        <w:rPr>
          <w:rFonts w:hint="eastAsia" w:ascii="Times New Roman" w:hAnsi="Times New Roman" w:eastAsia="方正仿宋_GBK" w:cs="方正仿宋_GBK"/>
          <w:b w:val="0"/>
          <w:bCs w:val="0"/>
          <w:spacing w:val="0"/>
          <w:w w:val="100"/>
          <w:position w:val="0"/>
          <w:sz w:val="32"/>
          <w:szCs w:val="32"/>
        </w:rPr>
        <w:t>分钟内先行电话报告、</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小时内书面报告，并实时报告进展情况。</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right="0" w:rightChars="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4</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发生重大、特别重大药械安全突发事件，县委、</w:t>
      </w:r>
      <w:r>
        <w:rPr>
          <w:rFonts w:hint="eastAsia" w:ascii="Times New Roman" w:hAnsi="Times New Roman" w:eastAsia="方正仿宋_GBK" w:cs="方正仿宋_GBK"/>
          <w:b w:val="0"/>
          <w:bCs w:val="0"/>
          <w:spacing w:val="0"/>
          <w:w w:val="100"/>
          <w:position w:val="0"/>
          <w:sz w:val="32"/>
          <w:szCs w:val="32"/>
          <w:lang w:eastAsia="zh-CN"/>
        </w:rPr>
        <w:t>县</w:t>
      </w:r>
      <w:r>
        <w:rPr>
          <w:rFonts w:hint="eastAsia" w:ascii="Times New Roman" w:hAnsi="Times New Roman" w:eastAsia="方正仿宋_GBK" w:cs="方正仿宋_GBK"/>
          <w:b w:val="0"/>
          <w:bCs w:val="0"/>
          <w:spacing w:val="0"/>
          <w:w w:val="100"/>
          <w:position w:val="0"/>
          <w:sz w:val="32"/>
          <w:szCs w:val="32"/>
        </w:rPr>
        <w:t>政府和县市场监管局在接报后</w:t>
      </w:r>
      <w:r>
        <w:rPr>
          <w:rFonts w:hint="default" w:ascii="Times New Roman" w:hAnsi="Times New Roman" w:eastAsia="方正仿宋_GBK" w:cs="Times New Roman"/>
          <w:b w:val="0"/>
          <w:bCs w:val="0"/>
          <w:spacing w:val="0"/>
          <w:w w:val="100"/>
          <w:position w:val="0"/>
          <w:sz w:val="32"/>
          <w:szCs w:val="32"/>
        </w:rPr>
        <w:t>30</w:t>
      </w:r>
      <w:r>
        <w:rPr>
          <w:rFonts w:hint="eastAsia" w:ascii="Times New Roman" w:hAnsi="Times New Roman" w:eastAsia="方正仿宋_GBK" w:cs="方正仿宋_GBK"/>
          <w:b w:val="0"/>
          <w:bCs w:val="0"/>
          <w:spacing w:val="0"/>
          <w:w w:val="100"/>
          <w:position w:val="0"/>
          <w:sz w:val="32"/>
          <w:szCs w:val="32"/>
        </w:rPr>
        <w:t>分钟内向市委值班室</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市政府总值班室和市药监局电话报告、</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小时内书面报告，抄报市市场监管局。</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right="0" w:rightChars="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5</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药械抽样送检机构在收到检验报告，发现重大质量安全隐患或性质严重的假劣药品以及不合格医疗器械，可能引发重大或特别重大药械安全突发事件的，应及时通报县指挥部。</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 xml:space="preserve">  报告内容</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事件信息报告原则上采取书面形式。报告内容主要包括：信息来源、事件发生时间、地点、涉事产品、企业信息和初步判定的事件性质、危害程度、先期处置情况、事件发展趋势研判、下一步工作措施以及报告单位、上级要求核实的信息、联络人及电话等。紧急情况下可通过电话、网络形式报告，后续及时报送相关书面材料。</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 xml:space="preserve">  信息续报</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对首报时要素不齐全或事件衍生出新情况、处置工作有新进</w:t>
      </w:r>
      <w:bookmarkStart w:id="58" w:name="bookmark17"/>
      <w:bookmarkEnd w:id="58"/>
      <w:r>
        <w:rPr>
          <w:rFonts w:hint="eastAsia" w:ascii="Times New Roman" w:hAnsi="Times New Roman" w:eastAsia="方正仿宋_GBK" w:cs="方正仿宋_GBK"/>
          <w:b w:val="0"/>
          <w:bCs w:val="0"/>
          <w:spacing w:val="0"/>
          <w:w w:val="100"/>
          <w:position w:val="0"/>
          <w:sz w:val="32"/>
          <w:szCs w:val="32"/>
        </w:rPr>
        <w:t>展的，要及时续报；续报内容主要包括事件进展、发展趋势、后续应对措施、调查详情等。在处置过程中取得重大进展或可确定关键性信息的，应在</w:t>
      </w:r>
      <w:r>
        <w:rPr>
          <w:rFonts w:hint="default" w:ascii="Times New Roman" w:hAnsi="Times New Roman" w:eastAsia="方正仿宋_GBK" w:cs="Times New Roman"/>
          <w:b w:val="0"/>
          <w:bCs w:val="0"/>
          <w:spacing w:val="0"/>
          <w:w w:val="100"/>
          <w:position w:val="0"/>
          <w:sz w:val="32"/>
          <w:szCs w:val="32"/>
        </w:rPr>
        <w:t>24</w:t>
      </w:r>
      <w:r>
        <w:rPr>
          <w:rFonts w:hint="eastAsia" w:ascii="Times New Roman" w:hAnsi="Times New Roman" w:eastAsia="方正仿宋_GBK" w:cs="方正仿宋_GBK"/>
          <w:b w:val="0"/>
          <w:bCs w:val="0"/>
          <w:spacing w:val="0"/>
          <w:w w:val="100"/>
          <w:position w:val="0"/>
          <w:sz w:val="32"/>
          <w:szCs w:val="32"/>
        </w:rPr>
        <w:t>小时内上报进展情况。</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 xml:space="preserve">  信息通报</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涉及其他区县具体事项的，由县级有关部门向相关区县政府对应部门通报。</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59" w:name="_Toc7358_WPSOffice_Level2"/>
      <w:r>
        <w:rPr>
          <w:rFonts w:hint="default" w:ascii="Times New Roman" w:hAnsi="Times New Roman" w:eastAsia="方正楷体_GBK" w:cs="Times New Roman"/>
          <w:b w:val="0"/>
          <w:bCs w:val="0"/>
          <w:spacing w:val="0"/>
          <w:w w:val="100"/>
          <w:position w:val="0"/>
          <w:sz w:val="32"/>
          <w:szCs w:val="32"/>
        </w:rPr>
        <w:t>4.2  先期处置</w:t>
      </w:r>
      <w:bookmarkEnd w:id="59"/>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 xml:space="preserve">  发生药械安全突发事件</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涉事产品的经营和使用单位是先期处置的第一责任人，应立即按照应急预案启动应急响应措施，组织应急队伍和工作人员救助受害人员；调查、控制可能的危险源，暂停生产、经营、使用质量可疑产品，采取集中放置并标识等必要措施防止危害扩大。</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 xml:space="preserve">  县市场监管局、事发地乡镇（街道）及有关部门接报后，要立即实地核实，组织、调度、协调各方面资源和力量，采取必要措施，对药械安全突发事件进行先期处置，迅速控制事态发展，上报现场动态信息。事发地乡镇（街道）及有关部门要在保护好事发现场的同时，及时组织群众开展自救互救。</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60" w:name="_Toc18261_WPSOffice_Level2"/>
      <w:r>
        <w:rPr>
          <w:rFonts w:hint="default" w:ascii="Times New Roman" w:hAnsi="Times New Roman" w:eastAsia="方正楷体_GBK" w:cs="Times New Roman"/>
          <w:b w:val="0"/>
          <w:bCs w:val="0"/>
          <w:spacing w:val="0"/>
          <w:w w:val="100"/>
          <w:position w:val="0"/>
          <w:sz w:val="32"/>
          <w:szCs w:val="32"/>
        </w:rPr>
        <w:t>4.3  分级响应</w:t>
      </w:r>
      <w:bookmarkEnd w:id="60"/>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eastAsia" w:ascii="Times New Roman" w:hAnsi="Times New Roman" w:eastAsia="方正仿宋_GBK" w:cs="方正仿宋_GBK"/>
          <w:b w:val="0"/>
          <w:bCs w:val="0"/>
          <w:spacing w:val="0"/>
          <w:w w:val="100"/>
          <w:position w:val="0"/>
          <w:sz w:val="32"/>
          <w:szCs w:val="32"/>
        </w:rPr>
        <w:t>按照药械安全突发事件分级，应急响应等级由高到低分为一级、二级、三级、四级。初判发生特别重大、重大药械安全突发事件，由市指挥部启动一级、二级响应，组织开展应急处置，市药监局第一时间报告国家药监局；初判发生较大、一般药械安全</w:t>
      </w:r>
      <w:bookmarkStart w:id="61" w:name="bookmark18"/>
      <w:bookmarkEnd w:id="61"/>
      <w:r>
        <w:rPr>
          <w:rFonts w:hint="eastAsia" w:ascii="Times New Roman" w:hAnsi="Times New Roman" w:eastAsia="方正仿宋_GBK" w:cs="方正仿宋_GBK"/>
          <w:b w:val="0"/>
          <w:bCs w:val="0"/>
          <w:spacing w:val="0"/>
          <w:w w:val="100"/>
          <w:position w:val="0"/>
          <w:sz w:val="32"/>
          <w:szCs w:val="32"/>
        </w:rPr>
        <w:t>突发事件时，由县政府启动三、四级应急响应，组织</w:t>
      </w:r>
      <w:r>
        <w:rPr>
          <w:rFonts w:hint="eastAsia" w:ascii="Times New Roman" w:hAnsi="Times New Roman" w:eastAsia="方正仿宋_GBK" w:cs="方正仿宋_GBK"/>
          <w:b w:val="0"/>
          <w:bCs w:val="0"/>
          <w:spacing w:val="0"/>
          <w:w w:val="100"/>
          <w:position w:val="0"/>
          <w:sz w:val="32"/>
          <w:szCs w:val="32"/>
          <w:lang w:eastAsia="zh-CN"/>
        </w:rPr>
        <w:t>开展应急处置。</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楷体_GB2312" w:cs="方正楷体_GB2312"/>
          <w:b w:val="0"/>
          <w:bCs w:val="0"/>
          <w:spacing w:val="0"/>
          <w:w w:val="100"/>
          <w:position w:val="0"/>
          <w:sz w:val="32"/>
          <w:szCs w:val="32"/>
        </w:rPr>
      </w:pPr>
      <w:bookmarkStart w:id="62" w:name="_Toc207_WPSOffice_Level2"/>
      <w:r>
        <w:rPr>
          <w:rFonts w:hint="default" w:ascii="Times New Roman" w:hAnsi="Times New Roman" w:eastAsia="方正楷体_GB2312" w:cs="Times New Roman"/>
          <w:b w:val="0"/>
          <w:bCs w:val="0"/>
          <w:spacing w:val="0"/>
          <w:w w:val="100"/>
          <w:position w:val="0"/>
          <w:sz w:val="32"/>
          <w:szCs w:val="32"/>
        </w:rPr>
        <w:t>4</w:t>
      </w:r>
      <w:r>
        <w:rPr>
          <w:rFonts w:hint="eastAsia" w:ascii="Times New Roman" w:hAnsi="Times New Roman" w:eastAsia="方正楷体_GB2312" w:cs="方正楷体_GB2312"/>
          <w:b w:val="0"/>
          <w:bCs w:val="0"/>
          <w:spacing w:val="0"/>
          <w:w w:val="100"/>
          <w:position w:val="0"/>
          <w:sz w:val="32"/>
          <w:szCs w:val="32"/>
        </w:rPr>
        <w:t>.</w:t>
      </w:r>
      <w:r>
        <w:rPr>
          <w:rFonts w:hint="default" w:ascii="Times New Roman" w:hAnsi="Times New Roman" w:eastAsia="方正楷体_GB2312" w:cs="Times New Roman"/>
          <w:b w:val="0"/>
          <w:bCs w:val="0"/>
          <w:spacing w:val="0"/>
          <w:w w:val="100"/>
          <w:position w:val="0"/>
          <w:sz w:val="32"/>
          <w:szCs w:val="32"/>
        </w:rPr>
        <w:t>4</w:t>
      </w:r>
      <w:r>
        <w:rPr>
          <w:rFonts w:hint="eastAsia" w:ascii="Times New Roman" w:hAnsi="Times New Roman" w:eastAsia="方正楷体_GB2312" w:cs="方正楷体_GB2312"/>
          <w:b w:val="0"/>
          <w:bCs w:val="0"/>
          <w:spacing w:val="0"/>
          <w:w w:val="100"/>
          <w:position w:val="0"/>
          <w:sz w:val="32"/>
          <w:szCs w:val="32"/>
        </w:rPr>
        <w:t xml:space="preserve">  处置措施</w:t>
      </w:r>
      <w:bookmarkEnd w:id="62"/>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 xml:space="preserve">  一级、二级响应措施</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当事件达到特别重大药械安全突发事件标准，由市指挥部在国家药监局统一指挥下进行处置；当事件达到重大药械安全突发事件标准，在市指挥部的统一领导下开展事件应对工作。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方正仿宋_GBK"/>
          <w:b w:val="0"/>
          <w:bCs w:val="0"/>
          <w:spacing w:val="0"/>
          <w:w w:val="100"/>
          <w:position w:val="0"/>
          <w:sz w:val="32"/>
          <w:szCs w:val="32"/>
        </w:rPr>
        <w:t xml:space="preserve">  三级响应措施</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当事件达到较大药械安全突发事件标准，或经分析研判认为事件可能升级为较大药械安全突发事件时，在县指挥部的统一领导下开展事件应对工作。采取以下措施：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right="0" w:rightChars="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1</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综合协调组负责收集、分析、汇总事件调查情况，通知各成员单位到指定地点集中，各工作组按照职责开展工作。</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right="0" w:rightChars="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2</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各工作组每日将工作信息报送综合协调组，综合协调组收集、汇总信息后，编发每日工作报告。</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right="0" w:rightChars="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3</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根据应对处置工作的需要，县指挥部指挥长或副指挥长赶赴现场指挥处置，事发地乡镇（街道）和涉事单位妥善安置受害人员及家属。</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）医疗救治组迅速组织医疗资源赶赴事发地，指导开展医疗救治工作。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）事件调查组赶赴事发地，通过现场检查、抽样检测等手段，对事件发生原因和相关药械质量进行全面调查；尽快查</w:t>
      </w:r>
      <w:bookmarkStart w:id="63" w:name="bookmark19"/>
      <w:bookmarkEnd w:id="63"/>
      <w:r>
        <w:rPr>
          <w:rFonts w:hint="eastAsia" w:ascii="Times New Roman" w:hAnsi="Times New Roman" w:eastAsia="方正仿宋_GBK" w:cs="方正仿宋_GBK"/>
          <w:b w:val="0"/>
          <w:bCs w:val="0"/>
          <w:spacing w:val="0"/>
          <w:w w:val="100"/>
          <w:position w:val="0"/>
          <w:sz w:val="32"/>
          <w:szCs w:val="32"/>
          <w:lang w:eastAsia="zh-CN"/>
        </w:rPr>
        <w:t>明原</w:t>
      </w:r>
      <w:r>
        <w:rPr>
          <w:rFonts w:hint="eastAsia" w:ascii="Times New Roman" w:hAnsi="Times New Roman" w:eastAsia="方正仿宋_GBK" w:cs="方正仿宋_GBK"/>
          <w:b w:val="0"/>
          <w:bCs w:val="0"/>
          <w:spacing w:val="0"/>
          <w:w w:val="100"/>
          <w:position w:val="0"/>
          <w:sz w:val="32"/>
          <w:szCs w:val="32"/>
        </w:rPr>
        <w:t>因、认定责任、提出处置意见，并提交调查报告。</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6</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危害控制组督促暂停流通、使用相关药械，并采取召回、销毁、封存等控制措施，防止危害扩大。</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7</w:t>
      </w:r>
      <w:r>
        <w:rPr>
          <w:rFonts w:hint="eastAsia" w:ascii="Times New Roman" w:hAnsi="Times New Roman" w:eastAsia="方正仿宋_GBK" w:cs="方正仿宋_GBK"/>
          <w:b w:val="0"/>
          <w:bCs w:val="0"/>
          <w:spacing w:val="0"/>
          <w:w w:val="100"/>
          <w:position w:val="0"/>
          <w:sz w:val="32"/>
          <w:szCs w:val="32"/>
        </w:rPr>
        <w:t>）新闻宣传组密切关注舆情，主动、及时、客观回应社会关切，及时发布警示信息和事件处置情况，澄清不实信息，正确引导社会舆论，消除公众恐慌心理。</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8</w:t>
      </w:r>
      <w:r>
        <w:rPr>
          <w:rFonts w:hint="eastAsia" w:ascii="Times New Roman" w:hAnsi="Times New Roman" w:eastAsia="方正仿宋_GBK" w:cs="方正仿宋_GBK"/>
          <w:b w:val="0"/>
          <w:bCs w:val="0"/>
          <w:spacing w:val="0"/>
          <w:w w:val="100"/>
          <w:position w:val="0"/>
          <w:sz w:val="32"/>
          <w:szCs w:val="32"/>
        </w:rPr>
        <w:t>）社会稳定组加强事发地社会治安管理，严厉打击传播谣言、制造社会恐慌等行为；加强医疗卫生机构、经营使用单位、应急物资存放点等重点地区治安管控；及时化解各类矛盾纠纷，防止出现群体性事件。</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ind w:right="0" w:rightChars="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lang w:eastAsia="zh-CN"/>
        </w:rPr>
        <w:t>（</w:t>
      </w:r>
      <w:r>
        <w:rPr>
          <w:rFonts w:hint="default" w:ascii="Times New Roman" w:hAnsi="Times New Roman" w:eastAsia="方正仿宋_GBK" w:cs="Times New Roman"/>
          <w:b w:val="0"/>
          <w:bCs w:val="0"/>
          <w:spacing w:val="0"/>
          <w:w w:val="100"/>
          <w:position w:val="0"/>
          <w:sz w:val="32"/>
          <w:szCs w:val="32"/>
          <w:lang w:val="en-US" w:eastAsia="zh-CN"/>
        </w:rPr>
        <w:t>9</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应急保障组做好应对处置后勤保障工作，保障应对处置所需车辆和通信、救治、办公等设施、设备及物资的储备与调用；保障应急物资市场价格稳定；保障优先安排、优先调度、优先放行应急交通工具，保障事发地现场应急运输畅通。</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10</w:t>
      </w:r>
      <w:r>
        <w:rPr>
          <w:rFonts w:hint="eastAsia" w:ascii="Times New Roman" w:hAnsi="Times New Roman" w:eastAsia="方正仿宋_GBK" w:cs="方正仿宋_GBK"/>
          <w:b w:val="0"/>
          <w:bCs w:val="0"/>
          <w:spacing w:val="0"/>
          <w:w w:val="100"/>
          <w:position w:val="0"/>
          <w:sz w:val="32"/>
          <w:szCs w:val="32"/>
        </w:rPr>
        <w:t>）对事发地和事件所涉药械经营企业均在我县的</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有关乡镇（街道）落实属地责任，做好伤员救治、现场管控等工作，并由县市场监管局通报波及或可能波及的乡镇（街道）。</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rPr>
        <w:t>.</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 xml:space="preserve">  四级响应措施</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各乡镇（街道）按照分级响应原则，参照三级应急响应措施</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制定四级应急响应措施。县市场监管局对乡镇（街道）派出专家咨询组指导、督促、调查药械安全突发事件。</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64" w:name="_Toc4371_WPSOffice_Level2"/>
      <w:r>
        <w:rPr>
          <w:rFonts w:hint="default" w:ascii="Times New Roman" w:hAnsi="Times New Roman" w:eastAsia="方正楷体_GBK" w:cs="Times New Roman"/>
          <w:b w:val="0"/>
          <w:bCs w:val="0"/>
          <w:spacing w:val="0"/>
          <w:w w:val="100"/>
          <w:position w:val="0"/>
          <w:sz w:val="32"/>
          <w:szCs w:val="32"/>
        </w:rPr>
        <w:t>4.5  响应调整</w:t>
      </w:r>
      <w:bookmarkEnd w:id="64"/>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bookmarkStart w:id="65" w:name="bookmark21"/>
      <w:bookmarkEnd w:id="65"/>
      <w:bookmarkStart w:id="66" w:name="bookmark20"/>
      <w:bookmarkEnd w:id="66"/>
      <w:r>
        <w:rPr>
          <w:rFonts w:hint="eastAsia" w:ascii="Times New Roman" w:hAnsi="Times New Roman" w:eastAsia="方正仿宋_GBK" w:cs="方正仿宋_GBK"/>
          <w:b w:val="0"/>
          <w:bCs w:val="0"/>
          <w:spacing w:val="0"/>
          <w:w w:val="100"/>
          <w:position w:val="0"/>
          <w:sz w:val="32"/>
          <w:szCs w:val="32"/>
        </w:rPr>
        <w:t>当事件发生初期级别尚不明确或发展趋势不明时，可结合专家研判意见和应对处置工作需要</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确定应急响应级别，并根据事件处置进展情况适时调整响应级别。</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当事件影响或危害扩大并有蔓延趋势，情况复杂难以控制时，应当及时提升响应级别；当事件发生在重要区域、重大节假日、重大活动和重要会议期间</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其响应级别相应提高。当事件危害或不良影响得到有效控制，经研判认为事件危害或不良影响已降低到原级别标准以下，可降低应急响应级别。</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67" w:name="_Toc12512_WPSOffice_Level2"/>
      <w:r>
        <w:rPr>
          <w:rFonts w:hint="default" w:ascii="Times New Roman" w:hAnsi="Times New Roman" w:eastAsia="方正楷体_GBK" w:cs="Times New Roman"/>
          <w:b w:val="0"/>
          <w:bCs w:val="0"/>
          <w:spacing w:val="0"/>
          <w:w w:val="100"/>
          <w:position w:val="0"/>
          <w:sz w:val="32"/>
          <w:szCs w:val="32"/>
        </w:rPr>
        <w:t>4.6  信息发布</w:t>
      </w:r>
      <w:bookmarkEnd w:id="67"/>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特别重大、重大药械安全突发事件信息发布按照《重庆市药品和医疗器械安全突发事件应急预案》要求由上级指挥部统一按要求发布。一般、较大药械安全突发事件发生后，县指挥部、市药监局根据职责和事件进展情况，在市委宣传部指导下，动态发布信息。</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药械安全突发事件发生后应在</w:t>
      </w:r>
      <w:r>
        <w:rPr>
          <w:rFonts w:hint="default" w:ascii="Times New Roman" w:hAnsi="Times New Roman" w:eastAsia="方正仿宋_GBK" w:cs="Times New Roman"/>
          <w:b w:val="0"/>
          <w:bCs w:val="0"/>
          <w:spacing w:val="0"/>
          <w:w w:val="100"/>
          <w:position w:val="0"/>
          <w:sz w:val="32"/>
          <w:szCs w:val="32"/>
        </w:rPr>
        <w:t>5</w:t>
      </w:r>
      <w:r>
        <w:rPr>
          <w:rFonts w:hint="eastAsia" w:ascii="Times New Roman" w:hAnsi="Times New Roman" w:eastAsia="方正仿宋_GBK" w:cs="方正仿宋_GBK"/>
          <w:b w:val="0"/>
          <w:bCs w:val="0"/>
          <w:spacing w:val="0"/>
          <w:w w:val="100"/>
          <w:position w:val="0"/>
          <w:sz w:val="32"/>
          <w:szCs w:val="32"/>
        </w:rPr>
        <w:t>小时内发布权威信息，造成严重人员伤亡或社会影响较大的突发事件，原则上应在</w:t>
      </w:r>
      <w:r>
        <w:rPr>
          <w:rFonts w:hint="default" w:ascii="Times New Roman" w:hAnsi="Times New Roman" w:eastAsia="方正仿宋_GBK" w:cs="Times New Roman"/>
          <w:b w:val="0"/>
          <w:bCs w:val="0"/>
          <w:spacing w:val="0"/>
          <w:w w:val="100"/>
          <w:position w:val="0"/>
          <w:sz w:val="32"/>
          <w:szCs w:val="32"/>
        </w:rPr>
        <w:t>24</w:t>
      </w:r>
      <w:r>
        <w:rPr>
          <w:rFonts w:hint="eastAsia" w:ascii="Times New Roman" w:hAnsi="Times New Roman" w:eastAsia="方正仿宋_GBK" w:cs="方正仿宋_GBK"/>
          <w:b w:val="0"/>
          <w:bCs w:val="0"/>
          <w:spacing w:val="0"/>
          <w:w w:val="100"/>
          <w:position w:val="0"/>
          <w:sz w:val="32"/>
          <w:szCs w:val="32"/>
        </w:rPr>
        <w:t>小时内召开新闻发布会，并视情况适时召开。</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68" w:name="_Toc2971_WPSOffice_Level2"/>
      <w:r>
        <w:rPr>
          <w:rFonts w:hint="default" w:ascii="Times New Roman" w:hAnsi="Times New Roman" w:eastAsia="方正楷体_GBK" w:cs="Times New Roman"/>
          <w:b w:val="0"/>
          <w:bCs w:val="0"/>
          <w:spacing w:val="0"/>
          <w:w w:val="100"/>
          <w:position w:val="0"/>
          <w:sz w:val="32"/>
          <w:szCs w:val="32"/>
        </w:rPr>
        <w:t>4.7  应急结束</w:t>
      </w:r>
      <w:bookmarkEnd w:id="68"/>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lang w:eastAsia="zh-CN"/>
        </w:rPr>
      </w:pPr>
      <w:r>
        <w:rPr>
          <w:rFonts w:hint="eastAsia" w:ascii="Times New Roman" w:hAnsi="Times New Roman" w:eastAsia="方正仿宋_GBK" w:cs="方正仿宋_GBK"/>
          <w:b w:val="0"/>
          <w:bCs w:val="0"/>
          <w:spacing w:val="0"/>
          <w:w w:val="100"/>
          <w:position w:val="0"/>
          <w:sz w:val="32"/>
          <w:szCs w:val="32"/>
        </w:rPr>
        <w:t>药械安全突发事件经处置没有新发类似病例，涉及的患者病情稳定或损伤得到控制，涉事药械得到有效控制，源头追溯清楚，原因查明，责任厘清，社会舆论得到有效引导，可终止响应。一级响应、二级响应按照市级应急预案要求决定终止；三级、</w:t>
      </w:r>
      <w:r>
        <w:rPr>
          <w:rFonts w:hint="eastAsia" w:ascii="Times New Roman" w:hAnsi="Times New Roman" w:eastAsia="方正仿宋_GBK" w:cs="方正仿宋_GBK"/>
          <w:b w:val="0"/>
          <w:bCs w:val="0"/>
          <w:spacing w:val="0"/>
          <w:w w:val="100"/>
          <w:position w:val="0"/>
          <w:sz w:val="32"/>
          <w:szCs w:val="32"/>
          <w:lang w:eastAsia="zh-CN"/>
        </w:rPr>
        <w:t>四级响应分别由县指挥部决定终止。</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632" w:firstLineChars="200"/>
        <w:jc w:val="both"/>
        <w:textAlignment w:val="baseline"/>
        <w:rPr>
          <w:rFonts w:hint="eastAsia" w:ascii="Times New Roman" w:hAnsi="Times New Roman" w:eastAsia="方正正黑_GBK" w:cs="方正正黑_GBK"/>
          <w:b w:val="0"/>
          <w:bCs w:val="0"/>
          <w:spacing w:val="0"/>
          <w:w w:val="100"/>
          <w:position w:val="0"/>
          <w:sz w:val="32"/>
          <w:szCs w:val="32"/>
        </w:rPr>
      </w:pPr>
      <w:bookmarkStart w:id="69" w:name="_Toc2357_WPSOffice_Level1"/>
      <w:r>
        <w:rPr>
          <w:rFonts w:hint="default" w:ascii="Times New Roman" w:hAnsi="Times New Roman" w:eastAsia="方正正黑_GBK" w:cs="Times New Roman"/>
          <w:b w:val="0"/>
          <w:bCs w:val="0"/>
          <w:spacing w:val="0"/>
          <w:w w:val="100"/>
          <w:position w:val="0"/>
          <w:sz w:val="32"/>
          <w:szCs w:val="32"/>
        </w:rPr>
        <w:t>5</w:t>
      </w:r>
      <w:r>
        <w:rPr>
          <w:rFonts w:hint="eastAsia" w:ascii="Times New Roman" w:hAnsi="Times New Roman" w:eastAsia="方正正黑_GBK" w:cs="方正正黑_GBK"/>
          <w:b w:val="0"/>
          <w:bCs w:val="0"/>
          <w:spacing w:val="0"/>
          <w:w w:val="100"/>
          <w:position w:val="0"/>
          <w:sz w:val="32"/>
          <w:szCs w:val="32"/>
        </w:rPr>
        <w:t xml:space="preserve">  后期处置</w:t>
      </w:r>
      <w:bookmarkEnd w:id="69"/>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70" w:name="_Toc29299_WPSOffice_Level2"/>
      <w:r>
        <w:rPr>
          <w:rFonts w:hint="default" w:ascii="Times New Roman" w:hAnsi="Times New Roman" w:eastAsia="方正楷体_GBK" w:cs="Times New Roman"/>
          <w:b w:val="0"/>
          <w:bCs w:val="0"/>
          <w:spacing w:val="0"/>
          <w:w w:val="100"/>
          <w:position w:val="0"/>
          <w:sz w:val="32"/>
          <w:szCs w:val="32"/>
        </w:rPr>
        <w:t>5.1  善后处置</w:t>
      </w:r>
      <w:bookmarkEnd w:id="70"/>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事发地乡镇（街道）要尽快组织开展受害及受影响人员的安置、赔（补）偿和征用物资、救援费用补偿等工作，尽快消除影响，恢复正常秩序；开展心理危机干预，组织心理专业人员开展多种形式的心理疏导。县市场监管局会同县级有关部门、有关单位积极参与善后工作，提供必要支持。</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71" w:name="_Toc11846_WPSOffice_Level2"/>
      <w:r>
        <w:rPr>
          <w:rFonts w:hint="default" w:ascii="Times New Roman" w:hAnsi="Times New Roman" w:eastAsia="方正楷体_GBK" w:cs="Times New Roman"/>
          <w:b w:val="0"/>
          <w:bCs w:val="0"/>
          <w:spacing w:val="0"/>
          <w:w w:val="100"/>
          <w:position w:val="0"/>
          <w:sz w:val="32"/>
          <w:szCs w:val="32"/>
        </w:rPr>
        <w:t>5.2  总结评估</w:t>
      </w:r>
      <w:bookmarkEnd w:id="71"/>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特别重大、重大药械安全突发事件处置工作结束后，按照市级应急预案相关要求开展总结评估工作。较大、一般药械安全突发事件，由县指挥部授权县市场监管局牵头，会同县级有关部门、有关单位开展总结评估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72" w:name="_Toc31511_WPSOffice_Level2"/>
      <w:r>
        <w:rPr>
          <w:rFonts w:hint="default" w:ascii="Times New Roman" w:hAnsi="Times New Roman" w:eastAsia="方正楷体_GBK" w:cs="Times New Roman"/>
          <w:b w:val="0"/>
          <w:bCs w:val="0"/>
          <w:spacing w:val="0"/>
          <w:w w:val="100"/>
          <w:position w:val="0"/>
          <w:sz w:val="32"/>
          <w:szCs w:val="32"/>
        </w:rPr>
        <w:t>5.3  奖惩</w:t>
      </w:r>
      <w:bookmarkEnd w:id="72"/>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对在应对处置工作中作出突出贡献的先进集体和个人，按照国家有关规定给予表彰奖励。对迟报、谎报、瞒报和漏报突发事件重要情况，应急处置不力，或者在工作中有失职、渎职行为的</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依照有关规定追责问责；构成犯罪的，依法追究刑事责任；造成他人人身、财产损害的，依法承担民事责任。</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632" w:firstLineChars="200"/>
        <w:jc w:val="both"/>
        <w:textAlignment w:val="baseline"/>
        <w:rPr>
          <w:rFonts w:hint="eastAsia" w:ascii="Times New Roman" w:hAnsi="Times New Roman" w:eastAsia="方正正黑_GBK" w:cs="方正正黑_GBK"/>
          <w:b w:val="0"/>
          <w:bCs w:val="0"/>
          <w:spacing w:val="0"/>
          <w:w w:val="100"/>
          <w:position w:val="0"/>
          <w:sz w:val="32"/>
          <w:szCs w:val="32"/>
        </w:rPr>
      </w:pPr>
      <w:bookmarkStart w:id="73" w:name="_Toc7928_WPSOffice_Level1"/>
      <w:r>
        <w:rPr>
          <w:rFonts w:hint="default" w:ascii="Times New Roman" w:hAnsi="Times New Roman" w:eastAsia="方正正黑_GBK" w:cs="Times New Roman"/>
          <w:b w:val="0"/>
          <w:bCs w:val="0"/>
          <w:spacing w:val="0"/>
          <w:w w:val="100"/>
          <w:position w:val="0"/>
          <w:sz w:val="32"/>
          <w:szCs w:val="32"/>
        </w:rPr>
        <w:t>6</w:t>
      </w:r>
      <w:r>
        <w:rPr>
          <w:rFonts w:hint="eastAsia" w:ascii="Times New Roman" w:hAnsi="Times New Roman" w:eastAsia="方正正黑_GBK" w:cs="方正正黑_GBK"/>
          <w:b w:val="0"/>
          <w:bCs w:val="0"/>
          <w:spacing w:val="0"/>
          <w:w w:val="100"/>
          <w:position w:val="0"/>
          <w:sz w:val="32"/>
          <w:szCs w:val="32"/>
        </w:rPr>
        <w:t xml:space="preserve">  应急保障</w:t>
      </w:r>
      <w:bookmarkEnd w:id="73"/>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74" w:name="_Toc13000_WPSOffice_Level2"/>
      <w:r>
        <w:rPr>
          <w:rFonts w:hint="default" w:ascii="Times New Roman" w:hAnsi="Times New Roman" w:eastAsia="方正楷体_GBK" w:cs="Times New Roman"/>
          <w:b w:val="0"/>
          <w:bCs w:val="0"/>
          <w:spacing w:val="0"/>
          <w:w w:val="100"/>
          <w:position w:val="0"/>
          <w:sz w:val="32"/>
          <w:szCs w:val="32"/>
        </w:rPr>
        <w:t>6.1  信息保障</w:t>
      </w:r>
      <w:bookmarkEnd w:id="74"/>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各乡镇</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街道</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lang w:val="en-US" w:eastAsia="zh-CN"/>
        </w:rPr>
        <w:t>和</w:t>
      </w:r>
      <w:r>
        <w:rPr>
          <w:rFonts w:hint="eastAsia" w:ascii="Times New Roman" w:hAnsi="Times New Roman" w:eastAsia="方正仿宋_GBK" w:cs="方正仿宋_GBK"/>
          <w:b w:val="0"/>
          <w:bCs w:val="0"/>
          <w:spacing w:val="0"/>
          <w:w w:val="100"/>
          <w:position w:val="0"/>
          <w:sz w:val="32"/>
          <w:szCs w:val="32"/>
        </w:rPr>
        <w:t>县市场监管局要健全药械安</w:t>
      </w:r>
      <w:bookmarkStart w:id="75" w:name="bookmark29"/>
      <w:bookmarkEnd w:id="75"/>
      <w:bookmarkStart w:id="76" w:name="bookmark30"/>
      <w:bookmarkEnd w:id="76"/>
      <w:bookmarkStart w:id="77" w:name="bookmark31"/>
      <w:bookmarkEnd w:id="77"/>
      <w:bookmarkStart w:id="78" w:name="bookmark28"/>
      <w:bookmarkEnd w:id="78"/>
      <w:bookmarkStart w:id="79" w:name="bookmark32"/>
      <w:bookmarkEnd w:id="79"/>
      <w:bookmarkStart w:id="80" w:name="bookmark33"/>
      <w:bookmarkEnd w:id="80"/>
      <w:r>
        <w:rPr>
          <w:rFonts w:hint="eastAsia" w:ascii="Times New Roman" w:hAnsi="Times New Roman" w:eastAsia="方正仿宋_GBK" w:cs="方正仿宋_GBK"/>
          <w:b w:val="0"/>
          <w:bCs w:val="0"/>
          <w:spacing w:val="0"/>
          <w:w w:val="100"/>
          <w:position w:val="0"/>
          <w:sz w:val="32"/>
          <w:szCs w:val="32"/>
        </w:rPr>
        <w:t>全风险信息管理、药品不良反应（事件）监测、投诉举报等体系</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优化药械信息数据库和信息报告系统，加强基层药械安全信息网络建设，畅通信息报告渠道</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实现信息快速传递和反馈，提高预警和快速反应能力。</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81" w:name="_Toc23987_WPSOffice_Level2"/>
      <w:r>
        <w:rPr>
          <w:rFonts w:hint="default" w:ascii="Times New Roman" w:hAnsi="Times New Roman" w:eastAsia="方正楷体_GBK" w:cs="Times New Roman"/>
          <w:b w:val="0"/>
          <w:bCs w:val="0"/>
          <w:spacing w:val="0"/>
          <w:w w:val="100"/>
          <w:position w:val="0"/>
          <w:sz w:val="32"/>
          <w:szCs w:val="32"/>
        </w:rPr>
        <w:t>6.2  队伍保障</w:t>
      </w:r>
      <w:bookmarkEnd w:id="81"/>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县指挥部依托市药监局组建的专家库组建药械安全应急队伍</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提升快速应对能力和技术水平。县市场监管局要积极对接市药监局加强对应急队伍的指导</w:t>
      </w:r>
      <w:r>
        <w:rPr>
          <w:rFonts w:hint="eastAsia" w:ascii="Times New Roman" w:hAnsi="Times New Roman" w:eastAsia="方正仿宋_GBK" w:cs="方正仿宋_GBK"/>
          <w:b w:val="0"/>
          <w:bCs w:val="0"/>
          <w:spacing w:val="0"/>
          <w:w w:val="100"/>
          <w:position w:val="0"/>
          <w:sz w:val="32"/>
          <w:szCs w:val="32"/>
          <w:lang w:eastAsia="zh-CN"/>
        </w:rPr>
        <w:t>，</w:t>
      </w:r>
      <w:r>
        <w:rPr>
          <w:rFonts w:hint="eastAsia" w:ascii="Times New Roman" w:hAnsi="Times New Roman" w:eastAsia="方正仿宋_GBK" w:cs="方正仿宋_GBK"/>
          <w:b w:val="0"/>
          <w:bCs w:val="0"/>
          <w:spacing w:val="0"/>
          <w:w w:val="100"/>
          <w:position w:val="0"/>
          <w:sz w:val="32"/>
          <w:szCs w:val="32"/>
        </w:rPr>
        <w:t>并在技术装备、知识培训、应急演练等方面给予支持。</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82" w:name="_Toc15309_WPSOffice_Level2"/>
      <w:r>
        <w:rPr>
          <w:rFonts w:hint="default" w:ascii="Times New Roman" w:hAnsi="Times New Roman" w:eastAsia="方正楷体_GBK" w:cs="Times New Roman"/>
          <w:b w:val="0"/>
          <w:bCs w:val="0"/>
          <w:spacing w:val="0"/>
          <w:w w:val="100"/>
          <w:position w:val="0"/>
          <w:sz w:val="32"/>
          <w:szCs w:val="32"/>
        </w:rPr>
        <w:t>6.3  医疗保障</w:t>
      </w:r>
      <w:bookmarkEnd w:id="82"/>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县卫生健康委要建立功能完善、反应灵敏、运转协调、持续发展的医疗救治体系，确保在突发事件造成人员伤害时，及时组织开展医疗救治工作。医疗机构负责事件发生后患者的救治工作。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83" w:name="_Toc3865_WPSOffice_Level2"/>
      <w:r>
        <w:rPr>
          <w:rFonts w:hint="default" w:ascii="Times New Roman" w:hAnsi="Times New Roman" w:eastAsia="方正楷体_GBK" w:cs="Times New Roman"/>
          <w:b w:val="0"/>
          <w:bCs w:val="0"/>
          <w:spacing w:val="0"/>
          <w:w w:val="100"/>
          <w:position w:val="0"/>
          <w:sz w:val="32"/>
          <w:szCs w:val="32"/>
        </w:rPr>
        <w:t>6.4  经费保障</w:t>
      </w:r>
      <w:bookmarkEnd w:id="83"/>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县财政局要为药械安全突发事件应急处置工作提供必要的经费支持，保障在紧急状态下应急处置工作顺利开展。</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632" w:firstLineChars="200"/>
        <w:jc w:val="both"/>
        <w:textAlignment w:val="baseline"/>
        <w:rPr>
          <w:rFonts w:hint="eastAsia" w:ascii="Times New Roman" w:hAnsi="Times New Roman" w:eastAsia="方正正黑_GBK" w:cs="方正正黑_GBK"/>
          <w:b w:val="0"/>
          <w:bCs w:val="0"/>
          <w:spacing w:val="0"/>
          <w:w w:val="100"/>
          <w:position w:val="0"/>
          <w:sz w:val="32"/>
          <w:szCs w:val="32"/>
        </w:rPr>
      </w:pPr>
      <w:bookmarkStart w:id="84" w:name="_Toc28121_WPSOffice_Level1"/>
      <w:r>
        <w:rPr>
          <w:rFonts w:hint="default" w:ascii="Times New Roman" w:hAnsi="Times New Roman" w:eastAsia="方正正黑_GBK" w:cs="Times New Roman"/>
          <w:b w:val="0"/>
          <w:bCs w:val="0"/>
          <w:spacing w:val="0"/>
          <w:w w:val="100"/>
          <w:position w:val="0"/>
          <w:sz w:val="32"/>
          <w:szCs w:val="32"/>
        </w:rPr>
        <w:t>7</w:t>
      </w:r>
      <w:r>
        <w:rPr>
          <w:rFonts w:hint="eastAsia" w:ascii="Times New Roman" w:hAnsi="Times New Roman" w:eastAsia="方正正黑_GBK" w:cs="方正正黑_GBK"/>
          <w:b w:val="0"/>
          <w:bCs w:val="0"/>
          <w:spacing w:val="0"/>
          <w:w w:val="100"/>
          <w:position w:val="0"/>
          <w:sz w:val="32"/>
          <w:szCs w:val="32"/>
        </w:rPr>
        <w:t xml:space="preserve">  预案管理</w:t>
      </w:r>
      <w:bookmarkEnd w:id="84"/>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85" w:name="_Toc9055_WPSOffice_Level2"/>
      <w:r>
        <w:rPr>
          <w:rFonts w:hint="default" w:ascii="Times New Roman" w:hAnsi="Times New Roman" w:eastAsia="方正楷体_GBK" w:cs="Times New Roman"/>
          <w:b w:val="0"/>
          <w:bCs w:val="0"/>
          <w:spacing w:val="0"/>
          <w:w w:val="100"/>
          <w:position w:val="0"/>
          <w:sz w:val="32"/>
          <w:szCs w:val="32"/>
        </w:rPr>
        <w:t>7.1  预案修订</w:t>
      </w:r>
      <w:bookmarkEnd w:id="85"/>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参照市级预案，结合实际组织修订本</w:t>
      </w:r>
      <w:r>
        <w:rPr>
          <w:rFonts w:hint="eastAsia" w:ascii="Times New Roman" w:hAnsi="Times New Roman" w:eastAsia="方正仿宋_GBK" w:cs="方正仿宋_GBK"/>
          <w:b w:val="0"/>
          <w:bCs w:val="0"/>
          <w:spacing w:val="0"/>
          <w:w w:val="100"/>
          <w:position w:val="0"/>
          <w:sz w:val="32"/>
          <w:szCs w:val="32"/>
          <w:lang w:val="en-US" w:eastAsia="zh-CN"/>
        </w:rPr>
        <w:t>县</w:t>
      </w:r>
      <w:r>
        <w:rPr>
          <w:rFonts w:hint="eastAsia" w:ascii="Times New Roman" w:hAnsi="Times New Roman" w:eastAsia="方正仿宋_GBK" w:cs="方正仿宋_GBK"/>
          <w:b w:val="0"/>
          <w:bCs w:val="0"/>
          <w:spacing w:val="0"/>
          <w:w w:val="100"/>
          <w:position w:val="0"/>
          <w:sz w:val="32"/>
          <w:szCs w:val="32"/>
        </w:rPr>
        <w:t>区域药械安全突发事件应急预案。</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86" w:name="_Toc14955_WPSOffice_Level2"/>
      <w:r>
        <w:rPr>
          <w:rFonts w:hint="default" w:ascii="Times New Roman" w:hAnsi="Times New Roman" w:eastAsia="方正楷体_GBK" w:cs="Times New Roman"/>
          <w:b w:val="0"/>
          <w:bCs w:val="0"/>
          <w:spacing w:val="0"/>
          <w:w w:val="100"/>
          <w:position w:val="0"/>
          <w:sz w:val="32"/>
          <w:szCs w:val="32"/>
        </w:rPr>
        <w:t>7.2  应急演练</w:t>
      </w:r>
      <w:bookmarkEnd w:id="86"/>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县市场监管局根据实际工作需要，采取实战演练、桌面推演</w:t>
      </w:r>
      <w:bookmarkStart w:id="87" w:name="bookmark34"/>
      <w:bookmarkEnd w:id="87"/>
      <w:bookmarkStart w:id="88" w:name="bookmark36"/>
      <w:bookmarkEnd w:id="88"/>
      <w:bookmarkStart w:id="89" w:name="bookmark38"/>
      <w:bookmarkEnd w:id="89"/>
      <w:bookmarkStart w:id="90" w:name="bookmark37"/>
      <w:bookmarkEnd w:id="90"/>
      <w:bookmarkStart w:id="91" w:name="bookmark35"/>
      <w:bookmarkEnd w:id="91"/>
      <w:r>
        <w:rPr>
          <w:rFonts w:hint="eastAsia" w:ascii="Times New Roman" w:hAnsi="Times New Roman" w:eastAsia="方正仿宋_GBK" w:cs="方正仿宋_GBK"/>
          <w:b w:val="0"/>
          <w:bCs w:val="0"/>
          <w:spacing w:val="0"/>
          <w:w w:val="100"/>
          <w:position w:val="0"/>
          <w:sz w:val="32"/>
          <w:szCs w:val="32"/>
        </w:rPr>
        <w:t>等方式，参照市级应急演练每</w:t>
      </w:r>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rPr>
        <w:t>年至少组织开展</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rPr>
        <w:t>次药械安全突发事件应对处置综合应急演练，针对演练发现的问题修改完善应急预案。</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92" w:name="_Toc1952_WPSOffice_Level2"/>
      <w:r>
        <w:rPr>
          <w:rFonts w:hint="default" w:ascii="Times New Roman" w:hAnsi="Times New Roman" w:eastAsia="方正楷体_GBK" w:cs="Times New Roman"/>
          <w:b w:val="0"/>
          <w:bCs w:val="0"/>
          <w:spacing w:val="0"/>
          <w:w w:val="100"/>
          <w:position w:val="0"/>
          <w:sz w:val="32"/>
          <w:szCs w:val="32"/>
        </w:rPr>
        <w:t>7.3  宣传培训</w:t>
      </w:r>
      <w:bookmarkEnd w:id="92"/>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各乡镇（街道）和县市场监管局、县卫生健康委等部门应对监管对象、医疗卫生人员及社会公众，持续组织开展药械安全突发事件应急知识宣传、教育与培训，鼓励社会力量参与药械应急知识宣传教育。</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632" w:firstLineChars="200"/>
        <w:jc w:val="both"/>
        <w:textAlignment w:val="baseline"/>
        <w:rPr>
          <w:rFonts w:hint="eastAsia" w:ascii="Times New Roman" w:hAnsi="Times New Roman" w:eastAsia="方正正黑_GBK" w:cs="方正正黑_GBK"/>
          <w:b w:val="0"/>
          <w:bCs w:val="0"/>
          <w:spacing w:val="0"/>
          <w:w w:val="100"/>
          <w:position w:val="0"/>
          <w:sz w:val="32"/>
          <w:szCs w:val="32"/>
        </w:rPr>
      </w:pPr>
      <w:bookmarkStart w:id="93" w:name="_Toc32100_WPSOffice_Level1"/>
      <w:r>
        <w:rPr>
          <w:rFonts w:hint="default" w:ascii="Times New Roman" w:hAnsi="Times New Roman" w:eastAsia="方正正黑_GBK" w:cs="Times New Roman"/>
          <w:b w:val="0"/>
          <w:bCs w:val="0"/>
          <w:spacing w:val="0"/>
          <w:w w:val="100"/>
          <w:position w:val="0"/>
          <w:sz w:val="32"/>
          <w:szCs w:val="32"/>
        </w:rPr>
        <w:t>8</w:t>
      </w:r>
      <w:r>
        <w:rPr>
          <w:rFonts w:hint="eastAsia" w:ascii="Times New Roman" w:hAnsi="Times New Roman" w:eastAsia="方正正黑_GBK" w:cs="方正正黑_GBK"/>
          <w:b w:val="0"/>
          <w:bCs w:val="0"/>
          <w:spacing w:val="0"/>
          <w:w w:val="100"/>
          <w:position w:val="0"/>
          <w:sz w:val="32"/>
          <w:szCs w:val="32"/>
        </w:rPr>
        <w:t xml:space="preserve">  附则</w:t>
      </w:r>
      <w:bookmarkEnd w:id="93"/>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94" w:name="_Toc1700_WPSOffice_Level2"/>
      <w:r>
        <w:rPr>
          <w:rFonts w:hint="default" w:ascii="Times New Roman" w:hAnsi="Times New Roman" w:eastAsia="方正楷体_GBK" w:cs="Times New Roman"/>
          <w:b w:val="0"/>
          <w:bCs w:val="0"/>
          <w:spacing w:val="0"/>
          <w:w w:val="100"/>
          <w:position w:val="0"/>
          <w:sz w:val="32"/>
          <w:szCs w:val="32"/>
        </w:rPr>
        <w:t>8.1  名词术语</w:t>
      </w:r>
      <w:bookmarkEnd w:id="94"/>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药品和医疗器械安全突发事件：突然发生对社会公众健康造成或可能造成严重损害，需要采取应急处置措施应对的药品和医疗器械群体不良事件、重大质量事件，以及其他严重影响公众健康的安全事件。</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95" w:name="_Toc25388_WPSOffice_Level2"/>
      <w:r>
        <w:rPr>
          <w:rFonts w:hint="default" w:ascii="Times New Roman" w:hAnsi="Times New Roman" w:eastAsia="方正楷体_GBK" w:cs="Times New Roman"/>
          <w:b w:val="0"/>
          <w:bCs w:val="0"/>
          <w:spacing w:val="0"/>
          <w:w w:val="100"/>
          <w:position w:val="0"/>
          <w:sz w:val="32"/>
          <w:szCs w:val="32"/>
        </w:rPr>
        <w:t>8.2  预案解释</w:t>
      </w:r>
      <w:bookmarkEnd w:id="95"/>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本预案由县市场监管局负责解释。</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default" w:ascii="Times New Roman" w:hAnsi="Times New Roman" w:eastAsia="方正楷体_GBK" w:cs="Times New Roman"/>
          <w:b w:val="0"/>
          <w:bCs w:val="0"/>
          <w:spacing w:val="0"/>
          <w:w w:val="100"/>
          <w:position w:val="0"/>
          <w:sz w:val="32"/>
          <w:szCs w:val="32"/>
        </w:rPr>
      </w:pPr>
      <w:bookmarkStart w:id="96" w:name="_Toc31978_WPSOffice_Level2"/>
      <w:r>
        <w:rPr>
          <w:rFonts w:hint="default" w:ascii="Times New Roman" w:hAnsi="Times New Roman" w:eastAsia="方正楷体_GBK" w:cs="Times New Roman"/>
          <w:b w:val="0"/>
          <w:bCs w:val="0"/>
          <w:spacing w:val="0"/>
          <w:w w:val="100"/>
          <w:position w:val="0"/>
          <w:sz w:val="32"/>
          <w:szCs w:val="32"/>
        </w:rPr>
        <w:t>8.3  预案实施</w:t>
      </w:r>
      <w:bookmarkEnd w:id="96"/>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632" w:firstLineChars="200"/>
        <w:jc w:val="both"/>
        <w:textAlignment w:val="baseline"/>
        <w:rPr>
          <w:rFonts w:hint="eastAsia" w:ascii="Times New Roman" w:hAnsi="Times New Roman" w:eastAsia="方正仿宋_GBK" w:cs="方正仿宋_GBK"/>
          <w:b w:val="0"/>
          <w:bCs w:val="0"/>
          <w:spacing w:val="0"/>
          <w:w w:val="100"/>
          <w:position w:val="0"/>
          <w:sz w:val="32"/>
          <w:szCs w:val="32"/>
        </w:rPr>
      </w:pPr>
      <w:r>
        <w:rPr>
          <w:rFonts w:hint="eastAsia" w:ascii="Times New Roman" w:hAnsi="Times New Roman" w:eastAsia="方正仿宋_GBK" w:cs="方正仿宋_GBK"/>
          <w:b w:val="0"/>
          <w:bCs w:val="0"/>
          <w:spacing w:val="0"/>
          <w:w w:val="100"/>
          <w:position w:val="0"/>
          <w:sz w:val="32"/>
          <w:szCs w:val="32"/>
        </w:rPr>
        <w:t>本预案自发布之日起施行。</w:t>
      </w:r>
    </w:p>
    <w:p>
      <w:pPr>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baseline"/>
        <w:rPr>
          <w:rFonts w:hint="eastAsia" w:ascii="Times New Roman" w:hAnsi="Times New Roman" w:eastAsia="方正仿宋_GBK" w:cs="方正仿宋_GBK"/>
          <w:b w:val="0"/>
          <w:bCs w:val="0"/>
          <w:spacing w:val="0"/>
          <w:w w:val="100"/>
          <w:position w:val="0"/>
          <w:sz w:val="32"/>
          <w:szCs w:val="32"/>
        </w:rPr>
      </w:pPr>
    </w:p>
    <w:p>
      <w:pPr>
        <w:bidi w:val="0"/>
        <w:ind w:firstLine="632" w:firstLineChars="200"/>
        <w:rPr>
          <w:rFonts w:hint="eastAsia" w:ascii="Times New Roman" w:hAnsi="Times New Roman" w:eastAsia="方正仿宋_GBK" w:cs="方正仿宋_GBK"/>
          <w:b w:val="0"/>
          <w:bCs w:val="0"/>
          <w:spacing w:val="0"/>
          <w:w w:val="100"/>
          <w:position w:val="0"/>
          <w:sz w:val="32"/>
          <w:szCs w:val="32"/>
        </w:rPr>
      </w:pPr>
      <w:bookmarkStart w:id="97" w:name="_Toc6427_WPSOffice_Level1"/>
      <w:bookmarkStart w:id="98" w:name="_Toc8925_WPSOffice_Level1"/>
      <w:bookmarkStart w:id="99" w:name="_Toc7481_WPSOffice_Level1"/>
      <w:bookmarkStart w:id="100" w:name="_Toc17196_WPSOffice_Level1"/>
      <w:bookmarkStart w:id="101" w:name="_Toc25257_WPSOffice_Level1"/>
      <w:r>
        <w:rPr>
          <w:rFonts w:hint="eastAsia" w:ascii="Times New Roman" w:hAnsi="Times New Roman" w:eastAsia="方正仿宋_GBK" w:cs="方正仿宋_GBK"/>
          <w:b w:val="0"/>
          <w:bCs w:val="0"/>
          <w:spacing w:val="0"/>
          <w:w w:val="100"/>
          <w:position w:val="0"/>
          <w:sz w:val="32"/>
          <w:szCs w:val="32"/>
        </w:rPr>
        <w:t>附件：</w:t>
      </w:r>
      <w:r>
        <w:rPr>
          <w:rFonts w:hint="default" w:ascii="Times New Roman" w:hAnsi="Times New Roman" w:eastAsia="方正仿宋_GBK" w:cs="Times New Roman"/>
          <w:b w:val="0"/>
          <w:bCs w:val="0"/>
          <w:spacing w:val="0"/>
          <w:w w:val="100"/>
          <w:position w:val="0"/>
          <w:sz w:val="32"/>
          <w:szCs w:val="32"/>
        </w:rPr>
        <w:t>1</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县指挥部组成及职责</w:t>
      </w:r>
      <w:bookmarkEnd w:id="97"/>
      <w:bookmarkEnd w:id="98"/>
      <w:bookmarkEnd w:id="99"/>
      <w:bookmarkEnd w:id="100"/>
      <w:bookmarkEnd w:id="101"/>
    </w:p>
    <w:p>
      <w:pPr>
        <w:bidi w:val="0"/>
        <w:ind w:firstLine="1580" w:firstLineChars="500"/>
        <w:rPr>
          <w:rFonts w:hint="eastAsia" w:ascii="Times New Roman" w:hAnsi="Times New Roman" w:eastAsia="方正仿宋_GBK" w:cs="方正仿宋_GBK"/>
          <w:b w:val="0"/>
          <w:bCs w:val="0"/>
          <w:spacing w:val="0"/>
          <w:w w:val="100"/>
          <w:position w:val="0"/>
          <w:sz w:val="32"/>
          <w:szCs w:val="32"/>
        </w:rPr>
      </w:pPr>
      <w:bookmarkStart w:id="102" w:name="_Toc20662_WPSOffice_Level1"/>
      <w:bookmarkStart w:id="103" w:name="_Toc25082_WPSOffice_Level1"/>
      <w:bookmarkStart w:id="104" w:name="_Toc18215_WPSOffice_Level1"/>
      <w:bookmarkStart w:id="105" w:name="_Toc19516_WPSOffice_Level1"/>
      <w:bookmarkStart w:id="106" w:name="_Toc18735_WPSOffice_Level1"/>
      <w:r>
        <w:rPr>
          <w:rFonts w:hint="default" w:ascii="Times New Roman" w:hAnsi="Times New Roman" w:eastAsia="方正仿宋_GBK" w:cs="Times New Roman"/>
          <w:b w:val="0"/>
          <w:bCs w:val="0"/>
          <w:spacing w:val="0"/>
          <w:w w:val="100"/>
          <w:position w:val="0"/>
          <w:sz w:val="32"/>
          <w:szCs w:val="32"/>
        </w:rPr>
        <w:t>2</w:t>
      </w:r>
      <w:r>
        <w:rPr>
          <w:rFonts w:hint="eastAsia" w:ascii="Times New Roman" w:hAnsi="Times New Roman" w:eastAsia="方正仿宋_GBK" w:cs="Times New Roman"/>
          <w:b w:val="0"/>
          <w:bCs w:val="0"/>
          <w:spacing w:val="0"/>
          <w:w w:val="100"/>
          <w:position w:val="0"/>
          <w:sz w:val="32"/>
          <w:szCs w:val="32"/>
          <w:lang w:val="en-US" w:eastAsia="zh-CN"/>
        </w:rPr>
        <w:t>.</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县级组织指挥架构图</w:t>
      </w:r>
      <w:bookmarkEnd w:id="102"/>
      <w:bookmarkEnd w:id="103"/>
      <w:bookmarkEnd w:id="104"/>
      <w:bookmarkEnd w:id="105"/>
      <w:bookmarkEnd w:id="106"/>
    </w:p>
    <w:p>
      <w:pPr>
        <w:bidi w:val="0"/>
        <w:ind w:firstLine="1580" w:firstLineChars="500"/>
        <w:rPr>
          <w:rFonts w:hint="eastAsia" w:ascii="Times New Roman" w:hAnsi="Times New Roman" w:eastAsia="方正仿宋_GBK" w:cs="方正仿宋_GBK"/>
          <w:b w:val="0"/>
          <w:bCs w:val="0"/>
          <w:spacing w:val="0"/>
          <w:w w:val="100"/>
          <w:position w:val="0"/>
          <w:sz w:val="32"/>
          <w:szCs w:val="32"/>
        </w:rPr>
      </w:pPr>
      <w:bookmarkStart w:id="107" w:name="_Toc25084_WPSOffice_Level1"/>
      <w:bookmarkStart w:id="108" w:name="_Toc11492_WPSOffice_Level1"/>
      <w:bookmarkStart w:id="109" w:name="_Toc15862_WPSOffice_Level1"/>
      <w:bookmarkStart w:id="110" w:name="_Toc26533_WPSOffice_Level1"/>
      <w:bookmarkStart w:id="111" w:name="_Toc29698_WPSOffice_Level1"/>
      <w:r>
        <w:rPr>
          <w:rFonts w:hint="default" w:ascii="Times New Roman" w:hAnsi="Times New Roman" w:eastAsia="方正仿宋_GBK" w:cs="Times New Roman"/>
          <w:b w:val="0"/>
          <w:bCs w:val="0"/>
          <w:spacing w:val="0"/>
          <w:w w:val="100"/>
          <w:position w:val="0"/>
          <w:sz w:val="32"/>
          <w:szCs w:val="32"/>
        </w:rPr>
        <w:t>3</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信息报告流程图</w:t>
      </w:r>
      <w:bookmarkEnd w:id="107"/>
      <w:bookmarkEnd w:id="108"/>
      <w:bookmarkEnd w:id="109"/>
      <w:bookmarkEnd w:id="110"/>
      <w:bookmarkEnd w:id="111"/>
    </w:p>
    <w:p>
      <w:pPr>
        <w:bidi w:val="0"/>
        <w:ind w:firstLine="1580" w:firstLineChars="500"/>
        <w:rPr>
          <w:rFonts w:hint="eastAsia" w:ascii="Times New Roman" w:hAnsi="Times New Roman" w:eastAsia="方正仿宋_GBK" w:cs="方正仿宋_GBK"/>
          <w:b w:val="0"/>
          <w:bCs w:val="0"/>
          <w:spacing w:val="0"/>
          <w:w w:val="100"/>
          <w:position w:val="0"/>
          <w:sz w:val="32"/>
          <w:szCs w:val="32"/>
        </w:rPr>
      </w:pPr>
      <w:bookmarkStart w:id="112" w:name="_Toc4953_WPSOffice_Level1"/>
      <w:bookmarkStart w:id="113" w:name="_Toc10580_WPSOffice_Level1"/>
      <w:bookmarkStart w:id="114" w:name="_Toc29264_WPSOffice_Level1"/>
      <w:bookmarkStart w:id="115" w:name="_Toc10590_WPSOffice_Level1"/>
      <w:bookmarkStart w:id="116" w:name="_Toc31045_WPSOffice_Level1"/>
      <w:r>
        <w:rPr>
          <w:rFonts w:hint="default" w:ascii="Times New Roman" w:hAnsi="Times New Roman" w:eastAsia="方正仿宋_GBK" w:cs="Times New Roman"/>
          <w:b w:val="0"/>
          <w:bCs w:val="0"/>
          <w:spacing w:val="0"/>
          <w:w w:val="100"/>
          <w:position w:val="0"/>
          <w:sz w:val="32"/>
          <w:szCs w:val="32"/>
        </w:rPr>
        <w:t>4</w:t>
      </w:r>
      <w:r>
        <w:rPr>
          <w:rFonts w:hint="eastAsia" w:ascii="Times New Roman" w:hAnsi="Times New Roman" w:eastAsia="方正仿宋_GBK" w:cs="方正仿宋_GBK"/>
          <w:b w:val="0"/>
          <w:bCs w:val="0"/>
          <w:spacing w:val="0"/>
          <w:w w:val="100"/>
          <w:position w:val="0"/>
          <w:sz w:val="32"/>
          <w:szCs w:val="32"/>
          <w:lang w:val="en-US" w:eastAsia="zh-CN"/>
        </w:rPr>
        <w:t xml:space="preserve">. </w:t>
      </w:r>
      <w:r>
        <w:rPr>
          <w:rFonts w:hint="eastAsia" w:ascii="Times New Roman" w:hAnsi="Times New Roman" w:eastAsia="方正仿宋_GBK" w:cs="方正仿宋_GBK"/>
          <w:b w:val="0"/>
          <w:bCs w:val="0"/>
          <w:spacing w:val="0"/>
          <w:w w:val="100"/>
          <w:position w:val="0"/>
          <w:sz w:val="32"/>
          <w:szCs w:val="32"/>
        </w:rPr>
        <w:t>应急响应流程图</w:t>
      </w:r>
      <w:bookmarkEnd w:id="112"/>
      <w:bookmarkEnd w:id="113"/>
      <w:bookmarkEnd w:id="114"/>
      <w:bookmarkEnd w:id="115"/>
      <w:bookmarkEnd w:id="116"/>
    </w:p>
    <w:p>
      <w:pPr>
        <w:pStyle w:val="3"/>
        <w:keepNext w:val="0"/>
        <w:keepLines w:val="0"/>
        <w:pageBreakBefore w:val="0"/>
        <w:widowControl w:val="0"/>
        <w:kinsoku w:val="0"/>
        <w:wordWrap/>
        <w:overflowPunct/>
        <w:topLinePunct w:val="0"/>
        <w:autoSpaceDE w:val="0"/>
        <w:autoSpaceDN w:val="0"/>
        <w:bidi w:val="0"/>
        <w:adjustRightInd/>
        <w:snapToGrid/>
        <w:spacing w:after="0" w:line="240" w:lineRule="auto"/>
        <w:ind w:left="0" w:leftChars="0"/>
        <w:jc w:val="both"/>
        <w:textAlignment w:val="baseline"/>
        <w:rPr>
          <w:rFonts w:hint="eastAsia" w:ascii="Times New Roman" w:hAnsi="Times New Roman" w:eastAsia="方正仿宋_GBK" w:cs="方正仿宋_GBK"/>
          <w:b w:val="0"/>
          <w:bCs w:val="0"/>
          <w:spacing w:val="-6"/>
          <w:sz w:val="32"/>
          <w:szCs w:val="32"/>
        </w:rPr>
      </w:pPr>
    </w:p>
    <w:p>
      <w:pPr>
        <w:pStyle w:val="3"/>
        <w:keepNext w:val="0"/>
        <w:keepLines w:val="0"/>
        <w:pageBreakBefore w:val="0"/>
        <w:widowControl w:val="0"/>
        <w:kinsoku w:val="0"/>
        <w:wordWrap/>
        <w:overflowPunct/>
        <w:topLinePunct w:val="0"/>
        <w:autoSpaceDE w:val="0"/>
        <w:autoSpaceDN w:val="0"/>
        <w:bidi w:val="0"/>
        <w:adjustRightInd/>
        <w:snapToGrid/>
        <w:spacing w:after="0" w:line="240" w:lineRule="auto"/>
        <w:ind w:left="0" w:leftChars="0"/>
        <w:jc w:val="both"/>
        <w:textAlignment w:val="baseline"/>
        <w:rPr>
          <w:rFonts w:hint="eastAsia" w:ascii="Times New Roman" w:hAnsi="Times New Roman" w:eastAsia="方正仿宋_GBK" w:cs="方正仿宋_GBK"/>
          <w:b w:val="0"/>
          <w:bCs w:val="0"/>
          <w:spacing w:val="-6"/>
          <w:sz w:val="32"/>
          <w:szCs w:val="32"/>
        </w:rPr>
      </w:pPr>
    </w:p>
    <w:p>
      <w:pPr>
        <w:pStyle w:val="3"/>
        <w:keepNext w:val="0"/>
        <w:keepLines w:val="0"/>
        <w:pageBreakBefore w:val="0"/>
        <w:widowControl w:val="0"/>
        <w:kinsoku w:val="0"/>
        <w:wordWrap/>
        <w:overflowPunct/>
        <w:topLinePunct w:val="0"/>
        <w:autoSpaceDE w:val="0"/>
        <w:autoSpaceDN w:val="0"/>
        <w:bidi w:val="0"/>
        <w:adjustRightInd/>
        <w:snapToGrid/>
        <w:spacing w:after="0" w:line="240" w:lineRule="auto"/>
        <w:ind w:left="0" w:leftChars="0"/>
        <w:jc w:val="both"/>
        <w:textAlignment w:val="baseline"/>
        <w:rPr>
          <w:rFonts w:hint="eastAsia" w:ascii="Times New Roman" w:hAnsi="Times New Roman" w:eastAsia="方正仿宋_GBK" w:cs="方正仿宋_GBK"/>
          <w:b w:val="0"/>
          <w:bCs w:val="0"/>
          <w:spacing w:val="-6"/>
          <w:sz w:val="32"/>
          <w:szCs w:val="32"/>
        </w:rPr>
      </w:pPr>
    </w:p>
    <w:p>
      <w:pPr>
        <w:pStyle w:val="3"/>
        <w:keepNext w:val="0"/>
        <w:keepLines w:val="0"/>
        <w:pageBreakBefore w:val="0"/>
        <w:widowControl w:val="0"/>
        <w:kinsoku w:val="0"/>
        <w:wordWrap/>
        <w:overflowPunct/>
        <w:topLinePunct w:val="0"/>
        <w:autoSpaceDE w:val="0"/>
        <w:autoSpaceDN w:val="0"/>
        <w:bidi w:val="0"/>
        <w:adjustRightInd/>
        <w:snapToGrid/>
        <w:spacing w:after="0" w:line="240" w:lineRule="auto"/>
        <w:ind w:left="0" w:leftChars="0"/>
        <w:jc w:val="both"/>
        <w:textAlignment w:val="baseline"/>
        <w:rPr>
          <w:rFonts w:hint="eastAsia" w:ascii="Times New Roman" w:hAnsi="Times New Roman" w:eastAsia="方正仿宋_GBK" w:cs="方正仿宋_GBK"/>
          <w:b w:val="0"/>
          <w:bCs w:val="0"/>
          <w:spacing w:val="-6"/>
          <w:sz w:val="32"/>
          <w:szCs w:val="32"/>
        </w:rPr>
      </w:pPr>
    </w:p>
    <w:p>
      <w:pPr>
        <w:pStyle w:val="4"/>
        <w:keepNext w:val="0"/>
        <w:keepLines w:val="0"/>
        <w:pageBreakBefore w:val="0"/>
        <w:widowControl w:val="0"/>
        <w:wordWrap/>
        <w:overflowPunct/>
        <w:topLinePunct w:val="0"/>
        <w:bidi w:val="0"/>
        <w:adjustRightInd/>
        <w:snapToGrid/>
        <w:spacing w:line="240" w:lineRule="auto"/>
        <w:ind w:left="0" w:leftChars="0"/>
        <w:jc w:val="both"/>
        <w:rPr>
          <w:rFonts w:hint="eastAsia" w:ascii="Times New Roman" w:hAnsi="Times New Roman"/>
          <w:b w:val="0"/>
          <w:bCs w:val="0"/>
        </w:rPr>
      </w:pPr>
    </w:p>
    <w:p>
      <w:pPr>
        <w:keepNext w:val="0"/>
        <w:keepLines w:val="0"/>
        <w:pageBreakBefore w:val="0"/>
        <w:widowControl w:val="0"/>
        <w:kinsoku w:val="0"/>
        <w:wordWrap/>
        <w:overflowPunct/>
        <w:topLinePunct w:val="0"/>
        <w:autoSpaceDE w:val="0"/>
        <w:autoSpaceDN w:val="0"/>
        <w:bidi w:val="0"/>
        <w:adjustRightInd/>
        <w:snapToGrid/>
        <w:spacing w:line="580" w:lineRule="exact"/>
        <w:ind w:left="0" w:leftChars="0"/>
        <w:jc w:val="both"/>
        <w:textAlignment w:val="baseline"/>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pacing w:val="-6"/>
          <w:position w:val="1"/>
          <w:sz w:val="32"/>
          <w:szCs w:val="32"/>
        </w:rPr>
        <w:br w:type="page"/>
      </w:r>
      <w:r>
        <w:rPr>
          <w:rFonts w:hint="eastAsia" w:ascii="Times New Roman" w:hAnsi="Times New Roman" w:eastAsia="方正黑体_GBK" w:cs="方正黑体_GBK"/>
          <w:b w:val="0"/>
          <w:bCs w:val="0"/>
          <w:spacing w:val="-6"/>
          <w:position w:val="1"/>
          <w:sz w:val="32"/>
          <w:szCs w:val="32"/>
        </w:rPr>
        <w:t>附件</w:t>
      </w:r>
      <w:r>
        <w:rPr>
          <w:rFonts w:hint="default" w:ascii="Times New Roman" w:hAnsi="Times New Roman" w:eastAsia="方正黑体_GBK" w:cs="Times New Roman"/>
          <w:b w:val="0"/>
          <w:bCs w:val="0"/>
          <w:spacing w:val="-6"/>
          <w:position w:val="1"/>
          <w:sz w:val="32"/>
          <w:szCs w:val="32"/>
        </w:rPr>
        <w:t>1</w:t>
      </w:r>
    </w:p>
    <w:p>
      <w:pPr>
        <w:pStyle w:val="3"/>
        <w:keepNext w:val="0"/>
        <w:keepLines w:val="0"/>
        <w:pageBreakBefore w:val="0"/>
        <w:widowControl w:val="0"/>
        <w:kinsoku w:val="0"/>
        <w:wordWrap/>
        <w:overflowPunct/>
        <w:topLinePunct w:val="0"/>
        <w:autoSpaceDE w:val="0"/>
        <w:autoSpaceDN w:val="0"/>
        <w:bidi w:val="0"/>
        <w:adjustRightInd/>
        <w:snapToGrid/>
        <w:spacing w:after="0" w:line="580" w:lineRule="exact"/>
        <w:ind w:left="0" w:leftChars="0"/>
        <w:jc w:val="both"/>
        <w:textAlignment w:val="baseline"/>
        <w:rPr>
          <w:rFonts w:hint="eastAsia" w:ascii="Times New Roman" w:hAnsi="Times New Roman" w:eastAsia="方正小标宋_GBK" w:cs="方正小标宋_GBK"/>
          <w:b w:val="0"/>
          <w:bCs w:val="0"/>
          <w:spacing w:val="5"/>
          <w:sz w:val="44"/>
          <w:szCs w:val="44"/>
        </w:rPr>
      </w:pPr>
      <w:bookmarkStart w:id="117" w:name="_Toc13487_WPSOffice_Level1"/>
      <w:bookmarkStart w:id="118" w:name="_Toc16580_WPSOffice_Level1"/>
      <w:bookmarkStart w:id="119" w:name="_Toc30527_WPSOffice_Level1"/>
      <w:bookmarkStart w:id="120" w:name="_Toc6935_WPSOffice_Level1"/>
    </w:p>
    <w:p>
      <w:pPr>
        <w:pStyle w:val="3"/>
        <w:keepNext w:val="0"/>
        <w:keepLines w:val="0"/>
        <w:pageBreakBefore w:val="0"/>
        <w:widowControl w:val="0"/>
        <w:kinsoku w:val="0"/>
        <w:wordWrap/>
        <w:overflowPunct/>
        <w:topLinePunct w:val="0"/>
        <w:autoSpaceDE w:val="0"/>
        <w:autoSpaceDN w:val="0"/>
        <w:bidi w:val="0"/>
        <w:adjustRightInd/>
        <w:snapToGrid/>
        <w:spacing w:after="0" w:line="580" w:lineRule="exact"/>
        <w:ind w:left="0" w:leftChars="0"/>
        <w:jc w:val="center"/>
        <w:textAlignment w:val="baseline"/>
        <w:rPr>
          <w:rFonts w:hint="eastAsia" w:ascii="Times New Roman" w:hAnsi="Times New Roman" w:eastAsia="方正小标宋_GBK" w:cs="方正小标宋_GBK"/>
          <w:b w:val="0"/>
          <w:bCs w:val="0"/>
          <w:sz w:val="44"/>
          <w:szCs w:val="44"/>
        </w:rPr>
      </w:pPr>
      <w:bookmarkStart w:id="121" w:name="_Toc14316_WPSOffice_Level1"/>
      <w:r>
        <w:rPr>
          <w:rFonts w:hint="eastAsia" w:ascii="Times New Roman" w:hAnsi="Times New Roman" w:eastAsia="方正小标宋_GBK" w:cs="方正小标宋_GBK"/>
          <w:b w:val="0"/>
          <w:bCs w:val="0"/>
          <w:spacing w:val="5"/>
          <w:sz w:val="44"/>
          <w:szCs w:val="44"/>
        </w:rPr>
        <w:t>县指挥部组成及职责</w:t>
      </w:r>
      <w:bookmarkEnd w:id="117"/>
      <w:bookmarkEnd w:id="118"/>
      <w:bookmarkEnd w:id="119"/>
      <w:bookmarkEnd w:id="120"/>
      <w:bookmarkEnd w:id="121"/>
    </w:p>
    <w:p>
      <w:pPr>
        <w:keepNext w:val="0"/>
        <w:keepLines w:val="0"/>
        <w:pageBreakBefore w:val="0"/>
        <w:widowControl w:val="0"/>
        <w:wordWrap/>
        <w:overflowPunct/>
        <w:topLinePunct w:val="0"/>
        <w:bidi w:val="0"/>
        <w:adjustRightInd/>
        <w:snapToGrid/>
        <w:spacing w:line="240" w:lineRule="auto"/>
        <w:ind w:left="0" w:leftChars="0"/>
        <w:jc w:val="both"/>
        <w:rPr>
          <w:rFonts w:hint="eastAsia" w:ascii="Times New Roman" w:hAnsi="Times New Roman"/>
          <w:b w:val="0"/>
          <w:bCs w:val="0"/>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40" w:firstLineChars="200"/>
        <w:jc w:val="both"/>
        <w:textAlignment w:val="baseline"/>
        <w:rPr>
          <w:rFonts w:hint="eastAsia" w:ascii="Times New Roman" w:hAnsi="Times New Roman" w:eastAsia="方正黑体_GBK" w:cs="方正黑体_GBK"/>
          <w:b w:val="0"/>
          <w:bCs w:val="0"/>
          <w:sz w:val="32"/>
          <w:szCs w:val="32"/>
        </w:rPr>
      </w:pPr>
      <w:bookmarkStart w:id="122" w:name="_Toc13052_WPSOffice_Level1"/>
      <w:bookmarkStart w:id="123" w:name="_Toc25043_WPSOffice_Level1"/>
      <w:bookmarkStart w:id="124" w:name="_Toc26644_WPSOffice_Level1"/>
      <w:bookmarkStart w:id="125" w:name="_Toc21802_WPSOffice_Level1"/>
      <w:bookmarkStart w:id="126" w:name="_Toc20261_WPSOffice_Level1"/>
      <w:r>
        <w:rPr>
          <w:rFonts w:hint="eastAsia" w:ascii="Times New Roman" w:hAnsi="Times New Roman" w:eastAsia="方正黑体_GBK" w:cs="方正黑体_GBK"/>
          <w:b w:val="0"/>
          <w:bCs w:val="0"/>
          <w:spacing w:val="2"/>
          <w:position w:val="1"/>
          <w:sz w:val="32"/>
          <w:szCs w:val="32"/>
        </w:rPr>
        <w:t>一、组成人员</w:t>
      </w:r>
      <w:bookmarkEnd w:id="122"/>
      <w:bookmarkEnd w:id="123"/>
      <w:bookmarkEnd w:id="124"/>
      <w:bookmarkEnd w:id="125"/>
      <w:bookmarkEnd w:id="126"/>
    </w:p>
    <w:p>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632"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指</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rPr>
        <w:t>挥</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rPr>
        <w:t>长：</w:t>
      </w:r>
      <w:r>
        <w:rPr>
          <w:rFonts w:hint="eastAsia" w:ascii="Times New Roman" w:hAnsi="Times New Roman" w:eastAsia="方正仿宋_GBK" w:cs="方正仿宋_GBK"/>
          <w:b w:val="0"/>
          <w:bCs w:val="0"/>
          <w:sz w:val="32"/>
          <w:szCs w:val="32"/>
          <w:lang w:eastAsia="zh-CN"/>
        </w:rPr>
        <w:t>廖</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丹</w:t>
      </w:r>
      <w:r>
        <w:rPr>
          <w:rFonts w:hint="eastAsia" w:ascii="Times New Roman" w:hAnsi="Times New Roman" w:eastAsia="方正仿宋_GBK" w:cs="方正仿宋_GBK"/>
          <w:b w:val="0"/>
          <w:bCs w:val="0"/>
          <w:sz w:val="32"/>
          <w:szCs w:val="32"/>
          <w:lang w:val="en-US" w:eastAsia="zh-CN"/>
        </w:rPr>
        <w:t xml:space="preserve">      县政府</w:t>
      </w:r>
      <w:r>
        <w:rPr>
          <w:rFonts w:hint="eastAsia" w:ascii="Times New Roman" w:hAnsi="Times New Roman" w:eastAsia="方正仿宋_GBK" w:cs="方正仿宋_GBK"/>
          <w:b w:val="0"/>
          <w:bCs w:val="0"/>
          <w:sz w:val="32"/>
          <w:szCs w:val="32"/>
        </w:rPr>
        <w:t>副县长</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632" w:firstLineChars="200"/>
        <w:jc w:val="both"/>
        <w:textAlignment w:val="baseline"/>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副指挥长：雷世节</w:t>
      </w:r>
      <w:r>
        <w:rPr>
          <w:rFonts w:hint="eastAsia" w:ascii="Times New Roman" w:hAnsi="Times New Roman" w:eastAsia="方正仿宋_GBK" w:cs="方正仿宋_GBK"/>
          <w:b w:val="0"/>
          <w:bCs w:val="0"/>
          <w:sz w:val="32"/>
          <w:szCs w:val="32"/>
          <w:lang w:val="en-US" w:eastAsia="zh-CN"/>
        </w:rPr>
        <w:t xml:space="preserve">      县政府办公室副主任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baseline"/>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 xml:space="preserve">              张  益      县市场监管局局长</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baseline"/>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 xml:space="preserve">              冯克林      县卫生健康委主任</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632"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成</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rPr>
        <w:t>员：县市场监管局、县卫生健康委、县委宣传部</w:t>
      </w:r>
      <w:r>
        <w:rPr>
          <w:rFonts w:hint="eastAsia" w:ascii="Times New Roman" w:hAnsi="Times New Roman" w:eastAsia="方正仿宋_GBK" w:cs="方正仿宋_GBK"/>
          <w:b w:val="0"/>
          <w:bCs w:val="0"/>
          <w:sz w:val="32"/>
          <w:szCs w:val="32"/>
          <w:lang w:eastAsia="zh-CN"/>
        </w:rPr>
        <w:t>（县委网信办）</w:t>
      </w:r>
      <w:r>
        <w:rPr>
          <w:rFonts w:hint="eastAsia" w:ascii="Times New Roman" w:hAnsi="Times New Roman" w:eastAsia="方正仿宋_GBK" w:cs="方正仿宋_GBK"/>
          <w:b w:val="0"/>
          <w:bCs w:val="0"/>
          <w:sz w:val="32"/>
          <w:szCs w:val="32"/>
        </w:rPr>
        <w:t>、县经济信息委、县公安局、县司法局、县财政局、县生态环境局、县交通</w:t>
      </w:r>
      <w:r>
        <w:rPr>
          <w:rFonts w:hint="eastAsia" w:ascii="Times New Roman" w:hAnsi="Times New Roman" w:eastAsia="方正仿宋_GBK" w:cs="方正仿宋_GBK"/>
          <w:b w:val="0"/>
          <w:bCs w:val="0"/>
          <w:sz w:val="32"/>
          <w:szCs w:val="32"/>
          <w:lang w:val="en-US" w:eastAsia="zh-CN"/>
        </w:rPr>
        <w:t>运输委</w:t>
      </w:r>
      <w:r>
        <w:rPr>
          <w:rFonts w:hint="eastAsia" w:ascii="Times New Roman" w:hAnsi="Times New Roman" w:eastAsia="方正仿宋_GBK" w:cs="方正仿宋_GBK"/>
          <w:b w:val="0"/>
          <w:bCs w:val="0"/>
          <w:sz w:val="32"/>
          <w:szCs w:val="32"/>
        </w:rPr>
        <w:t>、县商务委、县应急</w:t>
      </w:r>
      <w:r>
        <w:rPr>
          <w:rFonts w:hint="eastAsia" w:ascii="Times New Roman" w:hAnsi="Times New Roman" w:eastAsia="方正仿宋_GBK" w:cs="方正仿宋_GBK"/>
          <w:b w:val="0"/>
          <w:bCs w:val="0"/>
          <w:sz w:val="32"/>
          <w:szCs w:val="32"/>
          <w:lang w:val="en-US" w:eastAsia="zh-CN"/>
        </w:rPr>
        <w:t>管理</w:t>
      </w:r>
      <w:r>
        <w:rPr>
          <w:rFonts w:hint="eastAsia" w:ascii="Times New Roman" w:hAnsi="Times New Roman" w:eastAsia="方正仿宋_GBK" w:cs="方正仿宋_GBK"/>
          <w:b w:val="0"/>
          <w:bCs w:val="0"/>
          <w:sz w:val="32"/>
          <w:szCs w:val="32"/>
        </w:rPr>
        <w:t>局、县医保局，事发地乡镇（街道）有关负责人。</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right="0" w:firstLine="648" w:firstLineChars="200"/>
        <w:jc w:val="both"/>
        <w:textAlignment w:val="baseline"/>
        <w:rPr>
          <w:rFonts w:hint="eastAsia" w:ascii="Times New Roman" w:hAnsi="Times New Roman" w:eastAsia="方正黑体_GBK" w:cs="方正黑体_GBK"/>
          <w:b w:val="0"/>
          <w:bCs w:val="0"/>
          <w:spacing w:val="4"/>
          <w:position w:val="1"/>
          <w:sz w:val="32"/>
          <w:szCs w:val="32"/>
        </w:rPr>
      </w:pPr>
      <w:bookmarkStart w:id="127" w:name="_Toc30536_WPSOffice_Level1"/>
      <w:bookmarkStart w:id="128" w:name="_Toc12296_WPSOffice_Level1"/>
      <w:bookmarkStart w:id="129" w:name="_Toc11741_WPSOffice_Level1"/>
      <w:bookmarkStart w:id="130" w:name="_Toc21460_WPSOffice_Level1"/>
      <w:bookmarkStart w:id="131" w:name="_Toc22515_WPSOffice_Level1"/>
      <w:r>
        <w:rPr>
          <w:rFonts w:hint="eastAsia" w:ascii="Times New Roman" w:hAnsi="Times New Roman" w:eastAsia="方正黑体_GBK" w:cs="方正黑体_GBK"/>
          <w:b w:val="0"/>
          <w:bCs w:val="0"/>
          <w:spacing w:val="4"/>
          <w:position w:val="1"/>
          <w:sz w:val="32"/>
          <w:szCs w:val="32"/>
        </w:rPr>
        <w:t>县指挥部职责</w:t>
      </w:r>
      <w:bookmarkEnd w:id="127"/>
      <w:bookmarkEnd w:id="128"/>
      <w:bookmarkEnd w:id="129"/>
      <w:bookmarkEnd w:id="130"/>
      <w:bookmarkEnd w:id="131"/>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firstLine="648"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4"/>
          <w:sz w:val="32"/>
          <w:szCs w:val="32"/>
        </w:rPr>
        <w:t>组织指挥本较大、一般药械安全突发事件应对处置工作；传达贯彻执行县委、县政府有关指示、命令；向县委、县政府报告药械安全突发事件及应对处置情况；协调调度有关队伍、专家、物资、装备；决定对事发现场进行封闭等强制性措施；发布突发</w:t>
      </w:r>
      <w:r>
        <w:rPr>
          <w:rFonts w:hint="eastAsia" w:ascii="Times New Roman" w:hAnsi="Times New Roman" w:eastAsia="方正仿宋_GBK" w:cs="方正仿宋_GBK"/>
          <w:b w:val="0"/>
          <w:bCs w:val="0"/>
          <w:sz w:val="32"/>
          <w:szCs w:val="32"/>
        </w:rPr>
        <w:t>事件信息。</w:t>
      </w:r>
    </w:p>
    <w:p>
      <w:pPr>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0" w:leftChars="0" w:right="0" w:firstLine="644" w:firstLineChars="200"/>
        <w:jc w:val="both"/>
        <w:textAlignment w:val="baseline"/>
        <w:rPr>
          <w:rFonts w:hint="eastAsia" w:ascii="Times New Roman" w:hAnsi="Times New Roman" w:eastAsia="方正黑体_GBK" w:cs="方正黑体_GBK"/>
          <w:b w:val="0"/>
          <w:bCs w:val="0"/>
          <w:spacing w:val="3"/>
          <w:sz w:val="32"/>
          <w:szCs w:val="32"/>
        </w:rPr>
      </w:pPr>
      <w:bookmarkStart w:id="132" w:name="_Toc10731_WPSOffice_Level1"/>
      <w:bookmarkStart w:id="133" w:name="_Toc1782_WPSOffice_Level1"/>
      <w:bookmarkStart w:id="134" w:name="_Toc25773_WPSOffice_Level1"/>
      <w:bookmarkStart w:id="135" w:name="_Toc2746_WPSOffice_Level1"/>
      <w:bookmarkStart w:id="136" w:name="_Toc24153_WPSOffice_Level1"/>
      <w:r>
        <w:rPr>
          <w:rFonts w:hint="eastAsia" w:ascii="Times New Roman" w:hAnsi="Times New Roman" w:eastAsia="方正黑体_GBK" w:cs="方正黑体_GBK"/>
          <w:b w:val="0"/>
          <w:bCs w:val="0"/>
          <w:spacing w:val="3"/>
          <w:sz w:val="32"/>
          <w:szCs w:val="32"/>
        </w:rPr>
        <w:t>成员单位及职责</w:t>
      </w:r>
      <w:bookmarkEnd w:id="132"/>
      <w:bookmarkEnd w:id="133"/>
      <w:bookmarkEnd w:id="134"/>
      <w:bookmarkEnd w:id="135"/>
      <w:bookmarkEnd w:id="136"/>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4"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3"/>
          <w:sz w:val="32"/>
          <w:szCs w:val="32"/>
        </w:rPr>
        <w:t>县市场监管局：组织开展特别较大、一般药械安全突发事件</w:t>
      </w:r>
      <w:r>
        <w:rPr>
          <w:rFonts w:hint="eastAsia" w:ascii="Times New Roman" w:hAnsi="Times New Roman" w:eastAsia="方正仿宋_GBK" w:cs="方正仿宋_GBK"/>
          <w:b w:val="0"/>
          <w:bCs w:val="0"/>
          <w:spacing w:val="-1"/>
          <w:sz w:val="32"/>
          <w:szCs w:val="32"/>
        </w:rPr>
        <w:t>调查，对事件所涉药械及相关产品实施检验</w:t>
      </w:r>
      <w:r>
        <w:rPr>
          <w:rFonts w:hint="eastAsia" w:ascii="Times New Roman" w:hAnsi="Times New Roman" w:eastAsia="方正仿宋_GBK" w:cs="方正仿宋_GBK"/>
          <w:b w:val="0"/>
          <w:bCs w:val="0"/>
          <w:spacing w:val="-2"/>
          <w:sz w:val="32"/>
          <w:szCs w:val="32"/>
        </w:rPr>
        <w:t>检测，进行追踪追溯，</w:t>
      </w:r>
      <w:r>
        <w:rPr>
          <w:rFonts w:hint="eastAsia" w:ascii="Times New Roman" w:hAnsi="Times New Roman" w:eastAsia="方正仿宋_GBK" w:cs="方正仿宋_GBK"/>
          <w:b w:val="0"/>
          <w:bCs w:val="0"/>
          <w:spacing w:val="6"/>
          <w:sz w:val="32"/>
          <w:szCs w:val="32"/>
        </w:rPr>
        <w:t>及时采取紧急控制措施</w:t>
      </w:r>
      <w:r>
        <w:rPr>
          <w:rFonts w:hint="eastAsia" w:ascii="Times New Roman" w:hAnsi="Times New Roman" w:eastAsia="方正仿宋_GBK" w:cs="方正仿宋_GBK"/>
          <w:b w:val="0"/>
          <w:bCs w:val="0"/>
          <w:spacing w:val="6"/>
          <w:sz w:val="32"/>
          <w:szCs w:val="32"/>
          <w:lang w:eastAsia="zh-CN"/>
        </w:rPr>
        <w:t>。</w:t>
      </w:r>
      <w:r>
        <w:rPr>
          <w:rFonts w:hint="eastAsia" w:ascii="Times New Roman" w:hAnsi="Times New Roman" w:eastAsia="方正仿宋_GBK" w:cs="方正仿宋_GBK"/>
          <w:b w:val="0"/>
          <w:bCs w:val="0"/>
          <w:spacing w:val="6"/>
          <w:sz w:val="32"/>
          <w:szCs w:val="32"/>
        </w:rPr>
        <w:t>依据职责参与药械安全突发事件应对处</w:t>
      </w:r>
      <w:r>
        <w:rPr>
          <w:rFonts w:hint="eastAsia" w:ascii="Times New Roman" w:hAnsi="Times New Roman" w:eastAsia="方正仿宋_GBK" w:cs="方正仿宋_GBK"/>
          <w:b w:val="0"/>
          <w:bCs w:val="0"/>
          <w:spacing w:val="2"/>
          <w:sz w:val="32"/>
          <w:szCs w:val="32"/>
        </w:rPr>
        <w:t>置工作；加强应急物资价格监管。</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8"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4"/>
          <w:sz w:val="32"/>
          <w:szCs w:val="32"/>
        </w:rPr>
        <w:t>县卫生健康委：负责组织实施药械安全突发事件医疗救治工作，配合开展事件调查、病例确认工作，对医疗卫生机构药械安</w:t>
      </w:r>
      <w:r>
        <w:rPr>
          <w:rFonts w:hint="eastAsia" w:ascii="Times New Roman" w:hAnsi="Times New Roman" w:eastAsia="方正仿宋_GBK" w:cs="方正仿宋_GBK"/>
          <w:b w:val="0"/>
          <w:bCs w:val="0"/>
          <w:spacing w:val="5"/>
          <w:sz w:val="32"/>
          <w:szCs w:val="32"/>
        </w:rPr>
        <w:t>全突发事件采取控制措施；组织</w:t>
      </w:r>
      <w:r>
        <w:rPr>
          <w:rFonts w:hint="eastAsia" w:ascii="Times New Roman" w:hAnsi="Times New Roman" w:eastAsia="方正仿宋_GBK" w:cs="方正仿宋_GBK"/>
          <w:b w:val="0"/>
          <w:bCs w:val="0"/>
          <w:spacing w:val="5"/>
          <w:sz w:val="32"/>
          <w:szCs w:val="32"/>
          <w:lang w:eastAsia="zh-CN"/>
        </w:rPr>
        <w:t>、</w:t>
      </w:r>
      <w:r>
        <w:rPr>
          <w:rFonts w:hint="eastAsia" w:ascii="Times New Roman" w:hAnsi="Times New Roman" w:eastAsia="方正仿宋_GBK" w:cs="方正仿宋_GBK"/>
          <w:b w:val="0"/>
          <w:bCs w:val="0"/>
          <w:spacing w:val="5"/>
          <w:sz w:val="32"/>
          <w:szCs w:val="32"/>
        </w:rPr>
        <w:t>指导、监督医疗卫生机构开展</w:t>
      </w:r>
      <w:r>
        <w:rPr>
          <w:rFonts w:hint="eastAsia" w:ascii="Times New Roman" w:hAnsi="Times New Roman" w:eastAsia="方正仿宋_GBK" w:cs="方正仿宋_GBK"/>
          <w:b w:val="0"/>
          <w:bCs w:val="0"/>
          <w:spacing w:val="4"/>
          <w:sz w:val="32"/>
          <w:szCs w:val="32"/>
        </w:rPr>
        <w:t>药品不良反应和医疗器械不良事件的监测、报告。</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4"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3"/>
          <w:position w:val="19"/>
          <w:sz w:val="32"/>
          <w:szCs w:val="32"/>
        </w:rPr>
        <w:t>县委宣传部</w:t>
      </w:r>
      <w:r>
        <w:rPr>
          <w:rFonts w:hint="eastAsia" w:ascii="Times New Roman" w:hAnsi="Times New Roman" w:eastAsia="方正仿宋_GBK" w:cs="方正仿宋_GBK"/>
          <w:b w:val="0"/>
          <w:bCs w:val="0"/>
          <w:spacing w:val="3"/>
          <w:position w:val="19"/>
          <w:sz w:val="32"/>
          <w:szCs w:val="32"/>
          <w:lang w:eastAsia="zh-CN"/>
        </w:rPr>
        <w:t>（</w:t>
      </w:r>
      <w:r>
        <w:rPr>
          <w:rFonts w:hint="eastAsia" w:ascii="Times New Roman" w:hAnsi="Times New Roman" w:eastAsia="方正仿宋_GBK" w:cs="方正仿宋_GBK"/>
          <w:b w:val="0"/>
          <w:bCs w:val="0"/>
          <w:spacing w:val="4"/>
          <w:position w:val="19"/>
          <w:sz w:val="32"/>
          <w:szCs w:val="32"/>
          <w:lang w:eastAsia="zh-CN"/>
        </w:rPr>
        <w:t>县委网信办</w:t>
      </w:r>
      <w:r>
        <w:rPr>
          <w:rFonts w:hint="eastAsia" w:ascii="Times New Roman" w:hAnsi="Times New Roman" w:eastAsia="方正仿宋_GBK" w:cs="方正仿宋_GBK"/>
          <w:b w:val="0"/>
          <w:bCs w:val="0"/>
          <w:spacing w:val="3"/>
          <w:position w:val="19"/>
          <w:sz w:val="32"/>
          <w:szCs w:val="32"/>
          <w:lang w:eastAsia="zh-CN"/>
        </w:rPr>
        <w:t>）</w:t>
      </w:r>
      <w:r>
        <w:rPr>
          <w:rFonts w:hint="eastAsia" w:ascii="Times New Roman" w:hAnsi="Times New Roman" w:eastAsia="方正仿宋_GBK" w:cs="方正仿宋_GBK"/>
          <w:b w:val="0"/>
          <w:bCs w:val="0"/>
          <w:spacing w:val="3"/>
          <w:position w:val="19"/>
          <w:sz w:val="32"/>
          <w:szCs w:val="32"/>
        </w:rPr>
        <w:t>：负责组织新闻发布会，协调新闻媒体及时对事</w:t>
      </w:r>
      <w:r>
        <w:rPr>
          <w:rFonts w:hint="eastAsia" w:ascii="Times New Roman" w:hAnsi="Times New Roman" w:eastAsia="方正仿宋_GBK" w:cs="方正仿宋_GBK"/>
          <w:b w:val="0"/>
          <w:bCs w:val="0"/>
          <w:spacing w:val="0"/>
          <w:position w:val="17"/>
          <w:sz w:val="32"/>
          <w:szCs w:val="32"/>
        </w:rPr>
        <w:t>件信息和应对处置工作进行报道。</w:t>
      </w:r>
      <w:r>
        <w:rPr>
          <w:rFonts w:hint="eastAsia" w:ascii="Times New Roman" w:hAnsi="Times New Roman" w:eastAsia="方正仿宋_GBK" w:cs="方正仿宋_GBK"/>
          <w:b w:val="0"/>
          <w:bCs w:val="0"/>
          <w:spacing w:val="4"/>
          <w:position w:val="19"/>
          <w:sz w:val="32"/>
          <w:szCs w:val="32"/>
        </w:rPr>
        <w:t>负责监测药械安全突发事件引发的网</w:t>
      </w:r>
      <w:r>
        <w:rPr>
          <w:rFonts w:hint="eastAsia" w:ascii="Times New Roman" w:hAnsi="Times New Roman" w:eastAsia="方正仿宋_GBK" w:cs="方正仿宋_GBK"/>
          <w:b w:val="0"/>
          <w:bCs w:val="0"/>
          <w:spacing w:val="2"/>
          <w:position w:val="17"/>
          <w:sz w:val="32"/>
          <w:szCs w:val="32"/>
        </w:rPr>
        <w:t>络舆情</w:t>
      </w:r>
      <w:r>
        <w:rPr>
          <w:rFonts w:hint="eastAsia" w:ascii="Times New Roman" w:hAnsi="Times New Roman" w:eastAsia="方正仿宋_GBK" w:cs="方正仿宋_GBK"/>
          <w:b w:val="0"/>
          <w:bCs w:val="0"/>
          <w:spacing w:val="2"/>
          <w:position w:val="17"/>
          <w:sz w:val="32"/>
          <w:szCs w:val="32"/>
          <w:lang w:eastAsia="zh-CN"/>
        </w:rPr>
        <w:t>，</w:t>
      </w:r>
      <w:r>
        <w:rPr>
          <w:rFonts w:hint="eastAsia" w:ascii="Times New Roman" w:hAnsi="Times New Roman" w:eastAsia="方正仿宋_GBK" w:cs="方正仿宋_GBK"/>
          <w:b w:val="0"/>
          <w:bCs w:val="0"/>
          <w:spacing w:val="2"/>
          <w:position w:val="17"/>
          <w:sz w:val="32"/>
          <w:szCs w:val="32"/>
        </w:rPr>
        <w:t>并及时进行导控和处置。</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8"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4"/>
          <w:position w:val="19"/>
          <w:sz w:val="32"/>
          <w:szCs w:val="32"/>
        </w:rPr>
        <w:t>县经济信息委：负责应对处置所需医疗应急物资的生产、储</w:t>
      </w:r>
      <w:r>
        <w:rPr>
          <w:rFonts w:hint="eastAsia" w:ascii="Times New Roman" w:hAnsi="Times New Roman" w:eastAsia="方正仿宋_GBK" w:cs="方正仿宋_GBK"/>
          <w:b w:val="0"/>
          <w:bCs w:val="0"/>
          <w:spacing w:val="2"/>
          <w:position w:val="17"/>
          <w:sz w:val="32"/>
          <w:szCs w:val="32"/>
        </w:rPr>
        <w:t>备和供给。</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8"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4"/>
          <w:sz w:val="32"/>
          <w:szCs w:val="32"/>
        </w:rPr>
        <w:t>县公安局：负责指导、督促各级公安机关做好事发地涉及社会稳定的治安管控、安全保卫、交通管理工作；协助开展较大、</w:t>
      </w:r>
      <w:r>
        <w:rPr>
          <w:rFonts w:hint="eastAsia" w:ascii="Times New Roman" w:hAnsi="Times New Roman" w:eastAsia="方正仿宋_GBK" w:cs="方正仿宋_GBK"/>
          <w:b w:val="0"/>
          <w:bCs w:val="0"/>
          <w:spacing w:val="5"/>
          <w:sz w:val="32"/>
          <w:szCs w:val="32"/>
        </w:rPr>
        <w:t>一般药械安全突发事件调查处理工作，协助对麻醉、精神药品群</w:t>
      </w:r>
      <w:r>
        <w:rPr>
          <w:rFonts w:hint="eastAsia" w:ascii="Times New Roman" w:hAnsi="Times New Roman" w:eastAsia="方正仿宋_GBK" w:cs="方正仿宋_GBK"/>
          <w:b w:val="0"/>
          <w:bCs w:val="0"/>
          <w:sz w:val="32"/>
          <w:szCs w:val="32"/>
        </w:rPr>
        <w:t xml:space="preserve"> </w:t>
      </w:r>
      <w:r>
        <w:rPr>
          <w:rFonts w:hint="eastAsia" w:ascii="Times New Roman" w:hAnsi="Times New Roman" w:eastAsia="方正仿宋_GBK" w:cs="方正仿宋_GBK"/>
          <w:b w:val="0"/>
          <w:bCs w:val="0"/>
          <w:spacing w:val="4"/>
          <w:sz w:val="32"/>
          <w:szCs w:val="32"/>
        </w:rPr>
        <w:t>体滥用事件进行调查、核实、处理，协调处置较大</w:t>
      </w:r>
      <w:r>
        <w:rPr>
          <w:rFonts w:hint="eastAsia" w:ascii="Times New Roman" w:hAnsi="Times New Roman" w:eastAsia="方正仿宋_GBK" w:cs="方正仿宋_GBK"/>
          <w:b w:val="0"/>
          <w:bCs w:val="0"/>
          <w:spacing w:val="4"/>
          <w:sz w:val="32"/>
          <w:szCs w:val="32"/>
          <w:lang w:eastAsia="zh-CN"/>
        </w:rPr>
        <w:t>、</w:t>
      </w:r>
      <w:r>
        <w:rPr>
          <w:rFonts w:hint="eastAsia" w:ascii="Times New Roman" w:hAnsi="Times New Roman" w:eastAsia="方正仿宋_GBK" w:cs="方正仿宋_GBK"/>
          <w:b w:val="0"/>
          <w:bCs w:val="0"/>
          <w:spacing w:val="4"/>
          <w:sz w:val="32"/>
          <w:szCs w:val="32"/>
        </w:rPr>
        <w:t>一般药械安</w:t>
      </w:r>
      <w:r>
        <w:rPr>
          <w:rFonts w:hint="eastAsia" w:ascii="Times New Roman" w:hAnsi="Times New Roman" w:eastAsia="方正仿宋_GBK" w:cs="方正仿宋_GBK"/>
          <w:b w:val="0"/>
          <w:bCs w:val="0"/>
          <w:spacing w:val="6"/>
          <w:sz w:val="32"/>
          <w:szCs w:val="32"/>
        </w:rPr>
        <w:t>全犯罪案件的侦办工作；依法查处网上散布谣</w:t>
      </w:r>
      <w:r>
        <w:rPr>
          <w:rFonts w:hint="eastAsia" w:ascii="Times New Roman" w:hAnsi="Times New Roman" w:eastAsia="方正仿宋_GBK" w:cs="方正仿宋_GBK"/>
          <w:b w:val="0"/>
          <w:bCs w:val="0"/>
          <w:spacing w:val="5"/>
          <w:sz w:val="32"/>
          <w:szCs w:val="32"/>
        </w:rPr>
        <w:t>言、制造恐慌、扰</w:t>
      </w:r>
      <w:r>
        <w:rPr>
          <w:rFonts w:hint="eastAsia" w:ascii="Times New Roman" w:hAnsi="Times New Roman" w:eastAsia="方正仿宋_GBK" w:cs="方正仿宋_GBK"/>
          <w:b w:val="0"/>
          <w:bCs w:val="0"/>
          <w:spacing w:val="3"/>
          <w:sz w:val="32"/>
          <w:szCs w:val="32"/>
        </w:rPr>
        <w:t>乱社会秩序等行为。</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8" w:firstLineChars="200"/>
        <w:jc w:val="both"/>
        <w:textAlignment w:val="baseline"/>
        <w:rPr>
          <w:rFonts w:hint="eastAsia" w:ascii="Times New Roman" w:hAnsi="Times New Roman" w:eastAsia="方正仿宋_GBK" w:cs="方正仿宋_GBK"/>
          <w:b w:val="0"/>
          <w:bCs w:val="0"/>
          <w:spacing w:val="5"/>
          <w:sz w:val="32"/>
          <w:szCs w:val="32"/>
        </w:rPr>
      </w:pPr>
      <w:r>
        <w:rPr>
          <w:rFonts w:hint="eastAsia" w:ascii="Times New Roman" w:hAnsi="Times New Roman" w:eastAsia="方正仿宋_GBK" w:cs="方正仿宋_GBK"/>
          <w:b w:val="0"/>
          <w:bCs w:val="0"/>
          <w:i w:val="0"/>
          <w:iCs w:val="0"/>
          <w:spacing w:val="4"/>
          <w:sz w:val="32"/>
          <w:szCs w:val="32"/>
        </w:rPr>
        <w:t>县司法局：</w:t>
      </w:r>
      <w:r>
        <w:rPr>
          <w:rFonts w:hint="eastAsia" w:ascii="Times New Roman" w:hAnsi="Times New Roman" w:eastAsia="方正仿宋_GBK" w:cs="方正仿宋_GBK"/>
          <w:b w:val="0"/>
          <w:bCs w:val="0"/>
          <w:spacing w:val="4"/>
          <w:sz w:val="32"/>
          <w:szCs w:val="32"/>
        </w:rPr>
        <w:t>协助开展应对处置等工作；指导各司法</w:t>
      </w:r>
      <w:r>
        <w:rPr>
          <w:rFonts w:hint="eastAsia" w:ascii="Times New Roman" w:hAnsi="Times New Roman" w:eastAsia="方正仿宋_GBK" w:cs="方正仿宋_GBK"/>
          <w:b w:val="0"/>
          <w:bCs w:val="0"/>
          <w:spacing w:val="4"/>
          <w:sz w:val="32"/>
          <w:szCs w:val="32"/>
          <w:lang w:eastAsia="zh-CN"/>
        </w:rPr>
        <w:t>所、法律服务机构</w:t>
      </w:r>
      <w:r>
        <w:rPr>
          <w:rFonts w:hint="eastAsia" w:ascii="Times New Roman" w:hAnsi="Times New Roman" w:eastAsia="方正仿宋_GBK" w:cs="方正仿宋_GBK"/>
          <w:b w:val="0"/>
          <w:bCs w:val="0"/>
          <w:spacing w:val="5"/>
          <w:sz w:val="32"/>
          <w:szCs w:val="32"/>
        </w:rPr>
        <w:t>为依法处理药械安全突发事件提供法律服务。</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4"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3"/>
          <w:sz w:val="32"/>
          <w:szCs w:val="32"/>
        </w:rPr>
        <w:t>县财政局</w:t>
      </w:r>
      <w:r>
        <w:rPr>
          <w:rFonts w:hint="eastAsia" w:ascii="Times New Roman" w:hAnsi="Times New Roman" w:eastAsia="方正仿宋_GBK" w:cs="方正仿宋_GBK"/>
          <w:b w:val="0"/>
          <w:bCs w:val="0"/>
          <w:spacing w:val="3"/>
          <w:sz w:val="32"/>
          <w:szCs w:val="32"/>
          <w:lang w:eastAsia="zh-CN"/>
        </w:rPr>
        <w:t>：</w:t>
      </w:r>
      <w:r>
        <w:rPr>
          <w:rFonts w:hint="eastAsia" w:ascii="Times New Roman" w:hAnsi="Times New Roman" w:eastAsia="方正仿宋_GBK" w:cs="方正仿宋_GBK"/>
          <w:b w:val="0"/>
          <w:bCs w:val="0"/>
          <w:spacing w:val="3"/>
          <w:sz w:val="32"/>
          <w:szCs w:val="32"/>
        </w:rPr>
        <w:t>负责保障应对药械安全突发事件工作经费。</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8"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4"/>
          <w:sz w:val="32"/>
          <w:szCs w:val="32"/>
        </w:rPr>
        <w:t>县生态环境局：负责对药械安全突发事件引发的环境事件现</w:t>
      </w:r>
      <w:r>
        <w:rPr>
          <w:rFonts w:hint="eastAsia" w:ascii="Times New Roman" w:hAnsi="Times New Roman" w:eastAsia="方正仿宋_GBK" w:cs="方正仿宋_GBK"/>
          <w:b w:val="0"/>
          <w:bCs w:val="0"/>
          <w:spacing w:val="6"/>
          <w:sz w:val="32"/>
          <w:szCs w:val="32"/>
        </w:rPr>
        <w:t>场及周围区域环境组织开展应急监测，提出防</w:t>
      </w:r>
      <w:r>
        <w:rPr>
          <w:rFonts w:hint="eastAsia" w:ascii="Times New Roman" w:hAnsi="Times New Roman" w:eastAsia="方正仿宋_GBK" w:cs="方正仿宋_GBK"/>
          <w:b w:val="0"/>
          <w:bCs w:val="0"/>
          <w:spacing w:val="5"/>
          <w:sz w:val="32"/>
          <w:szCs w:val="32"/>
        </w:rPr>
        <w:t>止事态扩大和控制污染的要求或者建议</w:t>
      </w:r>
      <w:r>
        <w:rPr>
          <w:rFonts w:hint="eastAsia" w:ascii="Times New Roman" w:hAnsi="Times New Roman" w:eastAsia="方正仿宋_GBK" w:cs="方正仿宋_GBK"/>
          <w:b w:val="0"/>
          <w:bCs w:val="0"/>
          <w:spacing w:val="5"/>
          <w:sz w:val="32"/>
          <w:szCs w:val="32"/>
          <w:lang w:eastAsia="zh-CN"/>
        </w:rPr>
        <w:t>，</w:t>
      </w:r>
      <w:r>
        <w:rPr>
          <w:rFonts w:hint="eastAsia" w:ascii="Times New Roman" w:hAnsi="Times New Roman" w:eastAsia="方正仿宋_GBK" w:cs="方正仿宋_GBK"/>
          <w:b w:val="0"/>
          <w:bCs w:val="0"/>
          <w:spacing w:val="5"/>
          <w:sz w:val="32"/>
          <w:szCs w:val="32"/>
        </w:rPr>
        <w:t>并对事故现场污染物的清除以及生态破坏</w:t>
      </w:r>
      <w:r>
        <w:rPr>
          <w:rFonts w:hint="eastAsia" w:ascii="Times New Roman" w:hAnsi="Times New Roman" w:eastAsia="方正仿宋_GBK" w:cs="方正仿宋_GBK"/>
          <w:b w:val="0"/>
          <w:bCs w:val="0"/>
          <w:spacing w:val="-3"/>
          <w:sz w:val="32"/>
          <w:szCs w:val="32"/>
        </w:rPr>
        <w:t>的恢复等工作予以指导。对不合格药品无害化处理进行监督指导。</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4" w:firstLineChars="200"/>
        <w:jc w:val="both"/>
        <w:textAlignment w:val="baseline"/>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pacing w:val="3"/>
          <w:sz w:val="32"/>
          <w:szCs w:val="32"/>
        </w:rPr>
        <w:t>县交通</w:t>
      </w:r>
      <w:r>
        <w:rPr>
          <w:rFonts w:hint="eastAsia" w:ascii="Times New Roman" w:hAnsi="Times New Roman" w:eastAsia="方正仿宋_GBK" w:cs="方正仿宋_GBK"/>
          <w:b w:val="0"/>
          <w:bCs w:val="0"/>
          <w:spacing w:val="3"/>
          <w:sz w:val="32"/>
          <w:szCs w:val="32"/>
          <w:lang w:val="en-US" w:eastAsia="zh-CN"/>
        </w:rPr>
        <w:t>运输委</w:t>
      </w:r>
      <w:r>
        <w:rPr>
          <w:rFonts w:hint="eastAsia" w:ascii="Times New Roman" w:hAnsi="Times New Roman" w:eastAsia="方正仿宋_GBK" w:cs="方正仿宋_GBK"/>
          <w:b w:val="0"/>
          <w:bCs w:val="0"/>
          <w:spacing w:val="3"/>
          <w:sz w:val="32"/>
          <w:szCs w:val="32"/>
        </w:rPr>
        <w:t>：负责协调提供医疗救治物资</w:t>
      </w:r>
      <w:r>
        <w:rPr>
          <w:rFonts w:hint="eastAsia" w:ascii="Times New Roman" w:hAnsi="Times New Roman" w:eastAsia="方正仿宋_GBK" w:cs="方正仿宋_GBK"/>
          <w:b w:val="0"/>
          <w:bCs w:val="0"/>
          <w:spacing w:val="3"/>
          <w:sz w:val="32"/>
          <w:szCs w:val="32"/>
          <w:lang w:eastAsia="zh-CN"/>
        </w:rPr>
        <w:t>、</w:t>
      </w:r>
      <w:r>
        <w:rPr>
          <w:rFonts w:hint="eastAsia" w:ascii="Times New Roman" w:hAnsi="Times New Roman" w:eastAsia="方正仿宋_GBK" w:cs="方正仿宋_GBK"/>
          <w:b w:val="0"/>
          <w:bCs w:val="0"/>
          <w:spacing w:val="3"/>
          <w:sz w:val="32"/>
          <w:szCs w:val="32"/>
        </w:rPr>
        <w:t>人员应急运力。</w:t>
      </w:r>
      <w:r>
        <w:rPr>
          <w:rFonts w:hint="eastAsia" w:ascii="Times New Roman" w:hAnsi="Times New Roman" w:eastAsia="方正仿宋_GBK" w:cs="方正仿宋_GBK"/>
          <w:b w:val="0"/>
          <w:bCs w:val="0"/>
          <w:spacing w:val="3"/>
          <w:sz w:val="32"/>
          <w:szCs w:val="32"/>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8" w:firstLineChars="200"/>
        <w:jc w:val="both"/>
        <w:textAlignment w:val="baseline"/>
        <w:rPr>
          <w:rFonts w:hint="eastAsia" w:ascii="Times New Roman" w:hAnsi="Times New Roman" w:eastAsia="方正仿宋_GBK" w:cs="方正仿宋_GBK"/>
          <w:b w:val="0"/>
          <w:bCs w:val="0"/>
          <w:position w:val="17"/>
          <w:sz w:val="32"/>
          <w:szCs w:val="32"/>
        </w:rPr>
      </w:pPr>
      <w:r>
        <w:rPr>
          <w:rFonts w:hint="eastAsia" w:ascii="Times New Roman" w:hAnsi="Times New Roman" w:eastAsia="方正仿宋_GBK" w:cs="方正仿宋_GBK"/>
          <w:b w:val="0"/>
          <w:bCs w:val="0"/>
          <w:spacing w:val="4"/>
          <w:position w:val="19"/>
          <w:sz w:val="32"/>
          <w:szCs w:val="32"/>
        </w:rPr>
        <w:t>县商务委：负责发生药械安全突发事件时生活必需品的组织</w:t>
      </w:r>
      <w:r>
        <w:rPr>
          <w:rFonts w:hint="eastAsia" w:ascii="Times New Roman" w:hAnsi="Times New Roman" w:eastAsia="方正仿宋_GBK" w:cs="方正仿宋_GBK"/>
          <w:b w:val="0"/>
          <w:bCs w:val="0"/>
          <w:spacing w:val="3"/>
          <w:position w:val="17"/>
          <w:sz w:val="32"/>
          <w:szCs w:val="32"/>
        </w:rPr>
        <w:t>协调、调运和供应工作。</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4"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3"/>
          <w:sz w:val="32"/>
          <w:szCs w:val="32"/>
        </w:rPr>
        <w:t>县应急</w:t>
      </w:r>
      <w:r>
        <w:rPr>
          <w:rFonts w:hint="eastAsia" w:ascii="Times New Roman" w:hAnsi="Times New Roman" w:eastAsia="方正仿宋_GBK" w:cs="方正仿宋_GBK"/>
          <w:b w:val="0"/>
          <w:bCs w:val="0"/>
          <w:spacing w:val="3"/>
          <w:sz w:val="32"/>
          <w:szCs w:val="32"/>
          <w:lang w:val="en-US" w:eastAsia="zh-CN"/>
        </w:rPr>
        <w:t>管理局</w:t>
      </w:r>
      <w:r>
        <w:rPr>
          <w:rFonts w:hint="eastAsia" w:ascii="Times New Roman" w:hAnsi="Times New Roman" w:eastAsia="方正仿宋_GBK" w:cs="方正仿宋_GBK"/>
          <w:b w:val="0"/>
          <w:bCs w:val="0"/>
          <w:spacing w:val="3"/>
          <w:sz w:val="32"/>
          <w:szCs w:val="32"/>
        </w:rPr>
        <w:t>：负责指导药械安全突发事件应急预案制定</w:t>
      </w:r>
      <w:r>
        <w:rPr>
          <w:rFonts w:hint="eastAsia" w:ascii="Times New Roman" w:hAnsi="Times New Roman" w:eastAsia="方正仿宋_GBK" w:cs="方正仿宋_GBK"/>
          <w:b w:val="0"/>
          <w:bCs w:val="0"/>
          <w:spacing w:val="3"/>
          <w:sz w:val="32"/>
          <w:szCs w:val="32"/>
          <w:lang w:eastAsia="zh-CN"/>
        </w:rPr>
        <w:t>；</w:t>
      </w:r>
      <w:r>
        <w:rPr>
          <w:rFonts w:hint="eastAsia" w:ascii="Times New Roman" w:hAnsi="Times New Roman" w:eastAsia="方正仿宋_GBK" w:cs="方正仿宋_GBK"/>
          <w:b w:val="0"/>
          <w:bCs w:val="0"/>
          <w:spacing w:val="3"/>
          <w:sz w:val="32"/>
          <w:szCs w:val="32"/>
        </w:rPr>
        <w:t>在发生较大、一般药械安全突发事件时参与综合应急协调工作，组织</w:t>
      </w:r>
      <w:r>
        <w:rPr>
          <w:rFonts w:hint="eastAsia" w:ascii="Times New Roman" w:hAnsi="Times New Roman" w:eastAsia="方正仿宋_GBK" w:cs="方正仿宋_GBK"/>
          <w:b w:val="0"/>
          <w:bCs w:val="0"/>
          <w:spacing w:val="4"/>
          <w:sz w:val="32"/>
          <w:szCs w:val="32"/>
        </w:rPr>
        <w:t>开展职责范围内事件的调查处置。</w:t>
      </w:r>
    </w:p>
    <w:p>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648" w:firstLineChars="200"/>
        <w:jc w:val="both"/>
        <w:textAlignment w:val="baseline"/>
        <w:rPr>
          <w:rFonts w:hint="eastAsia" w:ascii="Times New Roman" w:hAnsi="Times New Roman" w:eastAsia="方正仿宋_GBK" w:cs="方正仿宋_GBK"/>
          <w:b w:val="0"/>
          <w:bCs w:val="0"/>
          <w:position w:val="17"/>
          <w:sz w:val="32"/>
          <w:szCs w:val="32"/>
        </w:rPr>
      </w:pPr>
      <w:r>
        <w:rPr>
          <w:rFonts w:hint="eastAsia" w:ascii="Times New Roman" w:hAnsi="Times New Roman" w:eastAsia="方正仿宋_GBK" w:cs="方正仿宋_GBK"/>
          <w:b w:val="0"/>
          <w:bCs w:val="0"/>
          <w:spacing w:val="4"/>
          <w:position w:val="19"/>
          <w:sz w:val="32"/>
          <w:szCs w:val="32"/>
        </w:rPr>
        <w:t>县医保局</w:t>
      </w:r>
      <w:r>
        <w:rPr>
          <w:rFonts w:hint="eastAsia" w:ascii="Times New Roman" w:hAnsi="Times New Roman" w:eastAsia="方正仿宋_GBK" w:cs="方正仿宋_GBK"/>
          <w:b w:val="0"/>
          <w:bCs w:val="0"/>
          <w:spacing w:val="4"/>
          <w:position w:val="19"/>
          <w:sz w:val="32"/>
          <w:szCs w:val="32"/>
          <w:lang w:eastAsia="zh-CN"/>
        </w:rPr>
        <w:t>：</w:t>
      </w:r>
      <w:r>
        <w:rPr>
          <w:rFonts w:hint="eastAsia" w:ascii="Times New Roman" w:hAnsi="Times New Roman" w:eastAsia="方正仿宋_GBK" w:cs="方正仿宋_GBK"/>
          <w:b w:val="0"/>
          <w:bCs w:val="0"/>
          <w:spacing w:val="4"/>
          <w:position w:val="19"/>
          <w:sz w:val="32"/>
          <w:szCs w:val="32"/>
        </w:rPr>
        <w:t>负责督导定点医疗机构落实应急药械招标、医保</w:t>
      </w:r>
      <w:r>
        <w:rPr>
          <w:rFonts w:hint="eastAsia" w:ascii="Times New Roman" w:hAnsi="Times New Roman" w:eastAsia="方正仿宋_GBK" w:cs="方正仿宋_GBK"/>
          <w:b w:val="0"/>
          <w:bCs w:val="0"/>
          <w:spacing w:val="1"/>
          <w:position w:val="17"/>
          <w:sz w:val="32"/>
          <w:szCs w:val="32"/>
        </w:rPr>
        <w:t>支付等工作。</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624" w:firstLineChars="200"/>
        <w:jc w:val="both"/>
        <w:textAlignment w:val="baseline"/>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pacing w:val="-2"/>
          <w:sz w:val="32"/>
          <w:szCs w:val="32"/>
        </w:rPr>
        <w:t>事发地乡镇（街道）：牵头处置一般药械安全突</w:t>
      </w:r>
      <w:r>
        <w:rPr>
          <w:rFonts w:hint="eastAsia" w:ascii="Times New Roman" w:hAnsi="Times New Roman" w:eastAsia="方正仿宋_GBK" w:cs="方正仿宋_GBK"/>
          <w:b w:val="0"/>
          <w:bCs w:val="0"/>
          <w:spacing w:val="-3"/>
          <w:sz w:val="32"/>
          <w:szCs w:val="32"/>
        </w:rPr>
        <w:t>发事件；</w:t>
      </w:r>
      <w:r>
        <w:rPr>
          <w:rFonts w:hint="eastAsia" w:ascii="Times New Roman" w:hAnsi="Times New Roman" w:eastAsia="方正仿宋_GBK" w:cs="方正仿宋_GBK"/>
          <w:b w:val="0"/>
          <w:bCs w:val="0"/>
          <w:spacing w:val="5"/>
          <w:sz w:val="32"/>
          <w:szCs w:val="32"/>
        </w:rPr>
        <w:t>对较大药械安全突发事件进行先期处置</w:t>
      </w:r>
      <w:r>
        <w:rPr>
          <w:rFonts w:hint="eastAsia" w:ascii="Times New Roman" w:hAnsi="Times New Roman" w:eastAsia="方正仿宋_GBK" w:cs="方正仿宋_GBK"/>
          <w:b w:val="0"/>
          <w:bCs w:val="0"/>
          <w:spacing w:val="5"/>
          <w:sz w:val="32"/>
          <w:szCs w:val="32"/>
          <w:lang w:eastAsia="zh-CN"/>
        </w:rPr>
        <w:t>，</w:t>
      </w:r>
      <w:r>
        <w:rPr>
          <w:rFonts w:hint="eastAsia" w:ascii="Times New Roman" w:hAnsi="Times New Roman" w:eastAsia="方正仿宋_GBK" w:cs="方正仿宋_GBK"/>
          <w:b w:val="0"/>
          <w:bCs w:val="0"/>
          <w:spacing w:val="5"/>
          <w:sz w:val="32"/>
          <w:szCs w:val="32"/>
        </w:rPr>
        <w:t>开展调查核实事件、现</w:t>
      </w:r>
      <w:r>
        <w:rPr>
          <w:rFonts w:hint="eastAsia" w:ascii="Times New Roman" w:hAnsi="Times New Roman" w:eastAsia="方正仿宋_GBK" w:cs="方正仿宋_GBK"/>
          <w:b w:val="0"/>
          <w:bCs w:val="0"/>
          <w:spacing w:val="4"/>
          <w:sz w:val="32"/>
          <w:szCs w:val="32"/>
        </w:rPr>
        <w:t>场管控、善后处置等工作。</w:t>
      </w:r>
    </w:p>
    <w:p>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both"/>
        <w:textAlignment w:val="baseline"/>
        <w:rPr>
          <w:rFonts w:hint="eastAsia" w:ascii="Times New Roman" w:hAnsi="Times New Roman" w:eastAsia="方正仿宋_GBK" w:cs="方正仿宋_GBK"/>
          <w:b w:val="0"/>
          <w:bCs w:val="0"/>
          <w:sz w:val="32"/>
          <w:szCs w:val="32"/>
        </w:rPr>
      </w:pPr>
    </w:p>
    <w:p>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both"/>
        <w:textAlignment w:val="baseline"/>
        <w:rPr>
          <w:rFonts w:hint="eastAsia" w:ascii="Times New Roman" w:hAnsi="Times New Roman" w:eastAsia="方正仿宋_GBK" w:cs="方正仿宋_GBK"/>
          <w:b w:val="0"/>
          <w:bCs w:val="0"/>
          <w:sz w:val="32"/>
          <w:szCs w:val="32"/>
        </w:rPr>
      </w:pPr>
    </w:p>
    <w:p>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both"/>
        <w:textAlignment w:val="baseline"/>
        <w:rPr>
          <w:rFonts w:hint="eastAsia" w:ascii="Times New Roman" w:hAnsi="Times New Roman" w:eastAsia="方正仿宋_GBK" w:cs="方正仿宋_GBK"/>
          <w:b w:val="0"/>
          <w:bCs w:val="0"/>
          <w:sz w:val="32"/>
          <w:szCs w:val="32"/>
        </w:rPr>
      </w:pPr>
    </w:p>
    <w:p>
      <w:pPr>
        <w:keepNext w:val="0"/>
        <w:keepLines w:val="0"/>
        <w:pageBreakBefore w:val="0"/>
        <w:widowControl w:val="0"/>
        <w:kinsoku w:val="0"/>
        <w:wordWrap/>
        <w:overflowPunct/>
        <w:topLinePunct w:val="0"/>
        <w:autoSpaceDE w:val="0"/>
        <w:autoSpaceDN w:val="0"/>
        <w:bidi w:val="0"/>
        <w:adjustRightInd/>
        <w:snapToGrid/>
        <w:spacing w:line="240" w:lineRule="auto"/>
        <w:ind w:left="0" w:leftChars="0"/>
        <w:jc w:val="both"/>
        <w:textAlignment w:val="baseline"/>
        <w:rPr>
          <w:rFonts w:hint="eastAsia" w:ascii="Times New Roman" w:hAnsi="Times New Roman" w:eastAsia="方正仿宋_GBK" w:cs="方正仿宋_GBK"/>
          <w:b w:val="0"/>
          <w:bCs w:val="0"/>
          <w:sz w:val="32"/>
          <w:szCs w:val="32"/>
        </w:rPr>
      </w:pPr>
    </w:p>
    <w:p>
      <w:pPr>
        <w:pStyle w:val="3"/>
        <w:keepNext w:val="0"/>
        <w:keepLines w:val="0"/>
        <w:pageBreakBefore w:val="0"/>
        <w:widowControl w:val="0"/>
        <w:kinsoku w:val="0"/>
        <w:wordWrap/>
        <w:overflowPunct/>
        <w:topLinePunct w:val="0"/>
        <w:autoSpaceDE w:val="0"/>
        <w:autoSpaceDN w:val="0"/>
        <w:bidi w:val="0"/>
        <w:adjustRightInd/>
        <w:snapToGrid/>
        <w:spacing w:after="0" w:line="240" w:lineRule="auto"/>
        <w:ind w:left="0" w:leftChars="0"/>
        <w:jc w:val="both"/>
        <w:textAlignment w:val="baseline"/>
        <w:rPr>
          <w:rFonts w:hint="eastAsia" w:ascii="Times New Roman" w:hAnsi="Times New Roman" w:eastAsia="方正仿宋_GBK" w:cs="方正仿宋_GBK"/>
          <w:b w:val="0"/>
          <w:bCs w:val="0"/>
          <w:sz w:val="32"/>
          <w:szCs w:val="32"/>
          <w:lang w:eastAsia="zh-CN"/>
        </w:rPr>
        <w:sectPr>
          <w:footerReference r:id="rId4" w:type="default"/>
          <w:headerReference r:id="rId3" w:type="even"/>
          <w:footerReference r:id="rId5" w:type="even"/>
          <w:pgSz w:w="11906" w:h="16838"/>
          <w:pgMar w:top="2098" w:right="1474" w:bottom="1984" w:left="1588" w:header="851" w:footer="1474" w:gutter="0"/>
          <w:cols w:space="0" w:num="1"/>
          <w:rtlGutter w:val="0"/>
          <w:docGrid w:type="linesAndChars" w:linePitch="579" w:charSpace="-849"/>
        </w:sectPr>
      </w:pPr>
      <w:r>
        <w:rPr>
          <w:rFonts w:hint="eastAsia" w:ascii="Times New Roman" w:hAnsi="Times New Roman" w:eastAsia="方正仿宋_GBK" w:cs="方正仿宋_GBK"/>
          <w:b w:val="0"/>
          <w:bCs w:val="0"/>
          <w:sz w:val="32"/>
          <w:szCs w:val="32"/>
          <w:lang w:eastAsia="zh-CN"/>
        </w:rPr>
        <w:t xml:space="preserve">  </w:t>
      </w:r>
    </w:p>
    <w:p>
      <w:pPr>
        <w:pStyle w:val="3"/>
        <w:keepNext w:val="0"/>
        <w:keepLines w:val="0"/>
        <w:pageBreakBefore w:val="0"/>
        <w:widowControl w:val="0"/>
        <w:kinsoku w:val="0"/>
        <w:wordWrap/>
        <w:overflowPunct/>
        <w:topLinePunct w:val="0"/>
        <w:autoSpaceDE w:val="0"/>
        <w:autoSpaceDN w:val="0"/>
        <w:bidi w:val="0"/>
        <w:adjustRightInd/>
        <w:snapToGrid/>
        <w:spacing w:after="0" w:line="580" w:lineRule="exact"/>
        <w:ind w:left="0" w:leftChars="0"/>
        <w:jc w:val="both"/>
        <w:textAlignment w:val="baseline"/>
        <w:rPr>
          <w:rFonts w:hint="eastAsia" w:ascii="Times New Roman" w:hAnsi="Times New Roman" w:eastAsia="方正黑体_GBK" w:cs="方正黑体_GBK"/>
          <w:b w:val="0"/>
          <w:bCs w:val="0"/>
          <w:spacing w:val="-2"/>
          <w:position w:val="1"/>
          <w:sz w:val="32"/>
          <w:szCs w:val="32"/>
        </w:rPr>
      </w:pPr>
      <w:r>
        <w:rPr>
          <w:rFonts w:hint="eastAsia" w:ascii="Times New Roman" w:hAnsi="Times New Roman" w:eastAsia="方正黑体_GBK" w:cs="方正黑体_GBK"/>
          <w:b w:val="0"/>
          <w:bCs w:val="0"/>
          <w:spacing w:val="-2"/>
          <w:position w:val="1"/>
          <w:sz w:val="32"/>
          <w:szCs w:val="32"/>
        </w:rPr>
        <w:t>附件</w:t>
      </w:r>
      <w:r>
        <w:rPr>
          <w:rFonts w:hint="eastAsia" w:ascii="Times New Roman" w:hAnsi="Times New Roman" w:eastAsia="方正黑体_GBK" w:cs="方正黑体_GBK"/>
          <w:b w:val="0"/>
          <w:bCs w:val="0"/>
          <w:spacing w:val="-71"/>
          <w:position w:val="1"/>
          <w:sz w:val="32"/>
          <w:szCs w:val="32"/>
        </w:rPr>
        <w:t xml:space="preserve"> </w:t>
      </w:r>
      <w:r>
        <w:rPr>
          <w:rFonts w:hint="eastAsia" w:ascii="Times New Roman" w:hAnsi="Times New Roman" w:eastAsia="方正黑体_GBK" w:cs="方正黑体_GBK"/>
          <w:b w:val="0"/>
          <w:bCs w:val="0"/>
          <w:spacing w:val="-2"/>
          <w:position w:val="1"/>
          <w:sz w:val="32"/>
          <w:szCs w:val="32"/>
        </w:rPr>
        <w:t>2</w:t>
      </w:r>
    </w:p>
    <w:p>
      <w:pPr>
        <w:pStyle w:val="4"/>
        <w:rPr>
          <w:rFonts w:hint="eastAsia" w:ascii="Times New Roman" w:hAnsi="Times New Roman"/>
        </w:rPr>
      </w:pPr>
    </w:p>
    <w:p>
      <w:pPr>
        <w:pStyle w:val="3"/>
        <w:keepNext w:val="0"/>
        <w:keepLines w:val="0"/>
        <w:pageBreakBefore w:val="0"/>
        <w:widowControl w:val="0"/>
        <w:kinsoku w:val="0"/>
        <w:wordWrap/>
        <w:overflowPunct/>
        <w:topLinePunct w:val="0"/>
        <w:autoSpaceDE w:val="0"/>
        <w:autoSpaceDN w:val="0"/>
        <w:bidi w:val="0"/>
        <w:adjustRightInd/>
        <w:snapToGrid/>
        <w:spacing w:after="0" w:line="580" w:lineRule="exact"/>
        <w:ind w:left="0" w:leftChars="0"/>
        <w:jc w:val="center"/>
        <w:textAlignment w:val="baseline"/>
        <w:rPr>
          <w:rFonts w:hint="eastAsia" w:ascii="Times New Roman" w:hAnsi="Times New Roman" w:eastAsia="方正小标宋_GBK" w:cs="方正小标宋_GBK"/>
          <w:spacing w:val="5"/>
          <w:sz w:val="44"/>
          <w:szCs w:val="44"/>
        </w:rPr>
      </w:pPr>
      <w:bookmarkStart w:id="137" w:name="_Toc3123_WPSOffice_Level1"/>
      <w:bookmarkStart w:id="138" w:name="_Toc13863_WPSOffice_Level1"/>
      <w:bookmarkStart w:id="139" w:name="_Toc21799_WPSOffice_Level1"/>
      <w:bookmarkStart w:id="140" w:name="_Toc17321_WPSOffice_Level1"/>
      <w:bookmarkStart w:id="141" w:name="_Toc5765_WPSOffice_Level1"/>
      <w:r>
        <w:rPr>
          <w:rFonts w:hint="eastAsia" w:ascii="Times New Roman" w:hAnsi="Times New Roman" w:eastAsia="方正小标宋_GBK" w:cs="方正小标宋_GBK"/>
          <w:b w:val="0"/>
          <w:bCs w:val="0"/>
          <w:spacing w:val="5"/>
          <w:sz w:val="44"/>
          <w:szCs w:val="44"/>
        </w:rPr>
        <w:t>县级组织指挥架构</w:t>
      </w:r>
      <w:r>
        <w:rPr>
          <w:rFonts w:hint="eastAsia" w:ascii="Times New Roman" w:hAnsi="Times New Roman" w:eastAsia="方正小标宋_GBK" w:cs="方正小标宋_GBK"/>
          <w:spacing w:val="5"/>
          <w:sz w:val="44"/>
          <w:szCs w:val="44"/>
        </w:rPr>
        <w:t>图</w:t>
      </w:r>
      <w:bookmarkEnd w:id="137"/>
      <w:bookmarkEnd w:id="138"/>
      <w:bookmarkEnd w:id="139"/>
      <w:bookmarkEnd w:id="140"/>
      <w:bookmarkEnd w:id="141"/>
    </w:p>
    <w:p>
      <w:pPr>
        <w:pStyle w:val="4"/>
        <w:ind w:left="0" w:leftChars="0" w:firstLine="0" w:firstLineChars="0"/>
        <w:rPr>
          <w:rFonts w:hint="eastAsia"/>
        </w:rPr>
      </w:pPr>
      <w:r>
        <w:rPr>
          <w:rFonts w:hint="eastAsia" w:ascii="Times New Roman" w:hAnsi="Times New Roman" w:eastAsia="方正黑体_GBK" w:cs="Times New Roman"/>
          <w:spacing w:val="-2"/>
          <w:position w:val="1"/>
          <w:sz w:val="32"/>
          <w:szCs w:val="32"/>
          <w:lang w:eastAsia="zh-CN"/>
        </w:rPr>
        <w:drawing>
          <wp:inline distT="0" distB="0" distL="114300" distR="114300">
            <wp:extent cx="8010525" cy="4326890"/>
            <wp:effectExtent l="0" t="0" r="9525" b="16510"/>
            <wp:docPr id="8" name="图片 1" descr="3EAF9AF9-6690-4689-9D6C-B0CD2208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3EAF9AF9-6690-4689-9D6C-B0CD22085206"/>
                    <pic:cNvPicPr>
                      <a:picLocks noChangeAspect="1"/>
                    </pic:cNvPicPr>
                  </pic:nvPicPr>
                  <pic:blipFill>
                    <a:blip r:embed="rId8"/>
                    <a:stretch>
                      <a:fillRect/>
                    </a:stretch>
                  </pic:blipFill>
                  <pic:spPr>
                    <a:xfrm>
                      <a:off x="0" y="0"/>
                      <a:ext cx="8010525" cy="432689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before="100" w:line="240" w:lineRule="auto"/>
        <w:jc w:val="left"/>
        <w:textAlignment w:val="baseline"/>
        <w:rPr>
          <w:rFonts w:hint="eastAsia" w:ascii="Times New Roman" w:hAnsi="Times New Roman" w:cs="方正仿宋_GBK"/>
          <w:sz w:val="32"/>
          <w:szCs w:val="32"/>
          <w:lang w:eastAsia="zh-CN"/>
        </w:rPr>
        <w:sectPr>
          <w:pgSz w:w="16838" w:h="11906" w:orient="landscape"/>
          <w:pgMar w:top="1531" w:right="2098" w:bottom="1531" w:left="2154" w:header="851" w:footer="1134" w:gutter="0"/>
          <w:cols w:space="720" w:num="1"/>
          <w:docGrid w:type="linesAndChars" w:linePitch="589" w:charSpace="-849"/>
        </w:sectPr>
      </w:pPr>
    </w:p>
    <w:p>
      <w:pPr>
        <w:keepNext w:val="0"/>
        <w:keepLines w:val="0"/>
        <w:pageBreakBefore w:val="0"/>
        <w:widowControl/>
        <w:kinsoku w:val="0"/>
        <w:wordWrap/>
        <w:overflowPunct/>
        <w:topLinePunct w:val="0"/>
        <w:autoSpaceDE w:val="0"/>
        <w:autoSpaceDN w:val="0"/>
        <w:bidi w:val="0"/>
        <w:adjustRightInd w:val="0"/>
        <w:snapToGrid w:val="0"/>
        <w:spacing w:before="100" w:line="240" w:lineRule="auto"/>
        <w:jc w:val="left"/>
        <w:textAlignment w:val="baseline"/>
        <w:rPr>
          <w:rFonts w:hint="default" w:ascii="Times New Roman" w:hAnsi="Times New Roman" w:eastAsia="方正黑体_GBK" w:cs="Times New Roman"/>
          <w:spacing w:val="-71"/>
          <w:position w:val="1"/>
          <w:sz w:val="32"/>
          <w:szCs w:val="32"/>
          <w:lang w:val="en-US" w:eastAsia="zh-CN"/>
        </w:rPr>
      </w:pPr>
      <w:r>
        <w:rPr>
          <w:rFonts w:hint="eastAsia" w:ascii="Times New Roman" w:hAnsi="Times New Roman" w:eastAsia="方正黑体_GBK" w:cs="方正黑体_GBK"/>
          <w:spacing w:val="-2"/>
          <w:position w:val="1"/>
          <w:sz w:val="32"/>
          <w:szCs w:val="32"/>
        </w:rPr>
        <w:t>附件</w:t>
      </w:r>
      <w:r>
        <w:rPr>
          <w:rFonts w:hint="eastAsia" w:ascii="Times New Roman" w:hAnsi="Times New Roman" w:eastAsia="方正黑体_GBK" w:cs="方正黑体_GBK"/>
          <w:spacing w:val="-71"/>
          <w:position w:val="1"/>
          <w:sz w:val="32"/>
          <w:szCs w:val="32"/>
        </w:rPr>
        <w:t xml:space="preserve"> </w:t>
      </w:r>
      <w:r>
        <w:rPr>
          <w:rFonts w:hint="default" w:ascii="Times New Roman" w:hAnsi="Times New Roman" w:eastAsia="方正黑体_GBK" w:cs="Times New Roman"/>
          <w:spacing w:val="-71"/>
          <w:position w:val="1"/>
          <w:sz w:val="32"/>
          <w:szCs w:val="32"/>
          <w:lang w:val="en-US" w:eastAsia="zh-CN"/>
        </w:rPr>
        <w:t>3</w:t>
      </w:r>
    </w:p>
    <w:p>
      <w:pPr>
        <w:pStyle w:val="2"/>
        <w:rPr>
          <w:rFonts w:hint="eastAsia" w:ascii="Times New Roman" w:hAnsi="Times New Roman"/>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imes New Roman" w:hAnsi="Times New Roman" w:eastAsia="方正黑体_GBK" w:cs="方正黑体_GBK"/>
          <w:spacing w:val="-71"/>
          <w:position w:val="1"/>
          <w:sz w:val="32"/>
          <w:szCs w:val="32"/>
          <w:lang w:val="en-US" w:eastAsia="zh-CN"/>
        </w:rPr>
      </w:pPr>
      <w:r>
        <w:rPr>
          <w:rFonts w:hint="eastAsia" w:ascii="Times New Roman" w:hAnsi="Times New Roman" w:eastAsia="方正黑体_GBK" w:cs="方正黑体_GBK"/>
          <w:spacing w:val="-71"/>
          <w:position w:val="1"/>
          <w:sz w:val="32"/>
          <w:szCs w:val="32"/>
          <w:lang w:val="en-US" w:eastAsia="zh-CN"/>
        </w:rPr>
        <w:drawing>
          <wp:inline distT="0" distB="0" distL="114300" distR="114300">
            <wp:extent cx="5733415" cy="4926330"/>
            <wp:effectExtent l="0" t="0" r="635" b="7620"/>
            <wp:docPr id="5" name="图片 2" descr="a2add405044f79fb040346f2cabe1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a2add405044f79fb040346f2cabe1e31"/>
                    <pic:cNvPicPr>
                      <a:picLocks noChangeAspect="1"/>
                    </pic:cNvPicPr>
                  </pic:nvPicPr>
                  <pic:blipFill>
                    <a:blip r:embed="rId9"/>
                    <a:stretch>
                      <a:fillRect/>
                    </a:stretch>
                  </pic:blipFill>
                  <pic:spPr>
                    <a:xfrm>
                      <a:off x="0" y="0"/>
                      <a:ext cx="5733415" cy="4926330"/>
                    </a:xfrm>
                    <a:prstGeom prst="rect">
                      <a:avLst/>
                    </a:prstGeom>
                    <a:noFill/>
                    <a:ln>
                      <a:noFill/>
                    </a:ln>
                  </pic:spPr>
                </pic:pic>
              </a:graphicData>
            </a:graphic>
          </wp:inline>
        </w:drawing>
      </w:r>
    </w:p>
    <w:p>
      <w:pPr>
        <w:spacing w:line="335" w:lineRule="auto"/>
        <w:rPr>
          <w:rFonts w:hint="eastAsia" w:ascii="Times New Roman" w:hAnsi="Times New Roman" w:eastAsia="方正黑体_GBK" w:cs="方正黑体_GBK"/>
          <w:spacing w:val="-71"/>
          <w:position w:val="1"/>
          <w:sz w:val="32"/>
          <w:szCs w:val="32"/>
          <w:lang w:val="en-US" w:eastAsia="zh-CN"/>
        </w:rPr>
      </w:pPr>
      <w:r>
        <w:rPr>
          <w:rFonts w:hint="eastAsia" w:ascii="Times New Roman" w:hAnsi="Times New Roman" w:eastAsia="方正黑体_GBK" w:cs="方正黑体_GBK"/>
          <w:spacing w:val="-2"/>
          <w:position w:val="1"/>
          <w:sz w:val="32"/>
          <w:szCs w:val="32"/>
        </w:rPr>
        <w:br w:type="page"/>
      </w:r>
      <w:r>
        <w:rPr>
          <w:rFonts w:ascii="Times New Roman" w:hAnsi="Times New Roman"/>
          <w:sz w:val="32"/>
          <w:szCs w:val="32"/>
        </w:rPr>
        <mc:AlternateContent>
          <mc:Choice Requires="wps">
            <w:drawing>
              <wp:anchor distT="0" distB="0" distL="114300" distR="114300" simplePos="0" relativeHeight="251659264" behindDoc="0" locked="0" layoutInCell="0" allowOverlap="1">
                <wp:simplePos x="0" y="0"/>
                <wp:positionH relativeFrom="page">
                  <wp:posOffset>2406015</wp:posOffset>
                </wp:positionH>
                <wp:positionV relativeFrom="page">
                  <wp:posOffset>4130675</wp:posOffset>
                </wp:positionV>
                <wp:extent cx="1101725" cy="68643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101725" cy="686435"/>
                        </a:xfrm>
                        <a:prstGeom prst="rect">
                          <a:avLst/>
                        </a:prstGeom>
                        <a:noFill/>
                        <a:ln>
                          <a:noFill/>
                        </a:ln>
                        <a:effectLst/>
                      </wps:spPr>
                      <wps:txbx>
                        <w:txbxContent>
                          <w:p>
                            <w:pPr>
                              <w:spacing w:before="19" w:line="182" w:lineRule="auto"/>
                              <w:ind w:left="20" w:right="20"/>
                              <w:rPr>
                                <w:rFonts w:ascii="微软雅黑" w:hAnsi="微软雅黑" w:eastAsia="微软雅黑" w:cs="微软雅黑"/>
                                <w:sz w:val="28"/>
                                <w:szCs w:val="28"/>
                              </w:rPr>
                            </w:pPr>
                          </w:p>
                        </w:txbxContent>
                      </wps:txbx>
                      <wps:bodyPr lIns="0" tIns="0" rIns="0" bIns="0" upright="1"/>
                    </wps:wsp>
                  </a:graphicData>
                </a:graphic>
              </wp:anchor>
            </w:drawing>
          </mc:Choice>
          <mc:Fallback>
            <w:pict>
              <v:shape id="_x0000_s1026" o:spid="_x0000_s1026" o:spt="202" type="#_x0000_t202" style="position:absolute;left:0pt;margin-left:189.45pt;margin-top:325.25pt;height:54.05pt;width:86.75pt;mso-position-horizontal-relative:page;mso-position-vertical-relative:page;z-index:251659264;mso-width-relative:page;mso-height-relative:page;" filled="f" stroked="f" coordsize="21600,21600" o:allowincell="f" o:gfxdata="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LbT+HbAAAACwEA&#10;AA8AAAAAAAAAAQAgAAAAIgAAAGRycy9kb3ducmV2LnhtbFBLAQIUABQAAAAIAIdO4kBZhzgYpQEA&#10;ADQDAAAOAAAAAAAAAAEAIAAAACoBAABkcnMvZTJvRG9jLnhtbFBLBQYAAAAABgAGAFkBAABBBQAA&#10;AAA=&#10;">
                <v:fill on="f" focussize="0,0"/>
                <v:stroke on="f"/>
                <v:imagedata o:title=""/>
                <o:lock v:ext="edit" aspectratio="f"/>
                <v:textbox inset="0mm,0mm,0mm,0mm">
                  <w:txbxContent>
                    <w:p>
                      <w:pPr>
                        <w:spacing w:before="19" w:line="182" w:lineRule="auto"/>
                        <w:ind w:left="20" w:right="20"/>
                        <w:rPr>
                          <w:rFonts w:ascii="微软雅黑" w:hAnsi="微软雅黑" w:eastAsia="微软雅黑" w:cs="微软雅黑"/>
                          <w:sz w:val="28"/>
                          <w:szCs w:val="28"/>
                        </w:rPr>
                      </w:pPr>
                    </w:p>
                  </w:txbxContent>
                </v:textbox>
              </v:shape>
            </w:pict>
          </mc:Fallback>
        </mc:AlternateContent>
      </w:r>
      <w:r>
        <w:rPr>
          <w:rFonts w:hint="eastAsia" w:ascii="Times New Roman" w:hAnsi="Times New Roman" w:eastAsia="方正黑体_GBK" w:cs="方正黑体_GBK"/>
          <w:spacing w:val="-2"/>
          <w:position w:val="1"/>
          <w:sz w:val="32"/>
          <w:szCs w:val="32"/>
        </w:rPr>
        <w:t>附件</w:t>
      </w:r>
      <w:r>
        <w:rPr>
          <w:rFonts w:hint="eastAsia" w:ascii="Times New Roman" w:hAnsi="Times New Roman" w:eastAsia="方正黑体_GBK" w:cs="方正黑体_GBK"/>
          <w:spacing w:val="-71"/>
          <w:position w:val="1"/>
          <w:sz w:val="32"/>
          <w:szCs w:val="32"/>
        </w:rPr>
        <w:t xml:space="preserve"> </w:t>
      </w:r>
      <w:r>
        <w:rPr>
          <w:rFonts w:hint="default" w:ascii="Times New Roman" w:hAnsi="Times New Roman" w:eastAsia="方正黑体_GBK" w:cs="Times New Roman"/>
          <w:spacing w:val="-71"/>
          <w:position w:val="1"/>
          <w:sz w:val="32"/>
          <w:szCs w:val="32"/>
          <w:lang w:val="en-US" w:eastAsia="zh-CN"/>
        </w:rPr>
        <w:t>4</w:t>
      </w:r>
    </w:p>
    <w:p>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imes New Roman" w:hAnsi="Times New Roman" w:eastAsia="方正仿宋_GBK" w:cs="方正仿宋_GBK"/>
          <w:sz w:val="28"/>
          <w:szCs w:val="28"/>
          <w:lang w:val="en-US" w:eastAsia="zh-CN"/>
        </w:rPr>
      </w:pPr>
      <w:r>
        <w:rPr>
          <w:rFonts w:hint="eastAsia" w:ascii="Times New Roman" w:hAnsi="Times New Roman" w:eastAsia="方正黑体_GBK" w:cs="方正黑体_GBK"/>
          <w:spacing w:val="-71"/>
          <w:position w:val="1"/>
          <w:sz w:val="32"/>
          <w:szCs w:val="32"/>
          <w:lang w:val="en-US" w:eastAsia="zh-CN"/>
        </w:rPr>
        <w:drawing>
          <wp:inline distT="0" distB="0" distL="114300" distR="114300">
            <wp:extent cx="5699125" cy="7514590"/>
            <wp:effectExtent l="0" t="0" r="15875" b="10160"/>
            <wp:docPr id="4" name="图片 3" descr="4914c2f5d14d2b4f58b371c1fd82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914c2f5d14d2b4f58b371c1fd821000"/>
                    <pic:cNvPicPr>
                      <a:picLocks noChangeAspect="1"/>
                    </pic:cNvPicPr>
                  </pic:nvPicPr>
                  <pic:blipFill>
                    <a:blip r:embed="rId10"/>
                    <a:stretch>
                      <a:fillRect/>
                    </a:stretch>
                  </pic:blipFill>
                  <pic:spPr>
                    <a:xfrm>
                      <a:off x="0" y="0"/>
                      <a:ext cx="5699125" cy="7514590"/>
                    </a:xfrm>
                    <a:prstGeom prst="rect">
                      <a:avLst/>
                    </a:prstGeom>
                    <a:noFill/>
                    <a:ln>
                      <a:noFill/>
                    </a:ln>
                  </pic:spPr>
                </pic:pic>
              </a:graphicData>
            </a:graphic>
          </wp:inline>
        </w:drawing>
      </w:r>
    </w:p>
    <w:sectPr>
      <w:footerReference r:id="rId6" w:type="default"/>
      <w:pgSz w:w="11906" w:h="16838"/>
      <w:pgMar w:top="2098" w:right="1473" w:bottom="1984" w:left="1587" w:header="850" w:footer="1474" w:gutter="0"/>
      <w:pgNumType w:fmt="decimal"/>
      <w:cols w:space="0" w:num="1"/>
      <w:rtlGutter w:val="0"/>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2DA85A-441F-482B-A65D-8CD2AE23844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7819453D-9D58-4C69-8AD9-DC60A18CB2FA}"/>
  </w:font>
  <w:font w:name="微软雅黑">
    <w:panose1 w:val="020B0503020204020204"/>
    <w:charset w:val="86"/>
    <w:family w:val="auto"/>
    <w:pitch w:val="default"/>
    <w:sig w:usb0="80000287" w:usb1="2ACF3C50" w:usb2="00000016" w:usb3="00000000" w:csb0="0004001F" w:csb1="00000000"/>
    <w:embedRegular r:id="rId3" w:fontKey="{B7B4EAE1-3786-45C6-B815-09163DE9E057}"/>
  </w:font>
  <w:font w:name="Helvetica">
    <w:altName w:val="Arial"/>
    <w:panose1 w:val="020B06040200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embedRegular r:id="rId4" w:fontKey="{E3C6B70B-42EA-49D3-AA86-75250D7B1DB0}"/>
  </w:font>
  <w:font w:name="方正黑体_GBK">
    <w:panose1 w:val="03000509000000000000"/>
    <w:charset w:val="86"/>
    <w:family w:val="auto"/>
    <w:pitch w:val="default"/>
    <w:sig w:usb0="00000001" w:usb1="080E0000" w:usb2="00000000" w:usb3="00000000" w:csb0="00040000" w:csb1="00000000"/>
    <w:embedRegular r:id="rId5" w:fontKey="{E9635B2F-24E5-4555-8D8F-CDE400E0A017}"/>
  </w:font>
  <w:font w:name="方正楷体_GBK">
    <w:panose1 w:val="03000509000000000000"/>
    <w:charset w:val="86"/>
    <w:family w:val="auto"/>
    <w:pitch w:val="default"/>
    <w:sig w:usb0="00000001" w:usb1="080E0000" w:usb2="00000000" w:usb3="00000000" w:csb0="00040000" w:csb1="00000000"/>
    <w:embedRegular r:id="rId6" w:fontKey="{DF66AFEE-6256-4825-B2B4-748E53F18BE6}"/>
  </w:font>
  <w:font w:name="方正正黑_GBK">
    <w:altName w:val="方正黑体_GBK"/>
    <w:panose1 w:val="02000000000000000000"/>
    <w:charset w:val="86"/>
    <w:family w:val="auto"/>
    <w:pitch w:val="default"/>
    <w:sig w:usb0="00000000" w:usb1="00000000" w:usb2="00000000" w:usb3="00000000" w:csb0="00000000" w:csb1="00000000"/>
    <w:embedRegular r:id="rId7" w:fontKey="{1D7C0F09-963B-409E-8D4A-34DC72A08690}"/>
  </w:font>
  <w:font w:name="方正楷体_GB2312">
    <w:altName w:val="方正楷体_GBK"/>
    <w:panose1 w:val="02000000000000000000"/>
    <w:charset w:val="86"/>
    <w:family w:val="auto"/>
    <w:pitch w:val="default"/>
    <w:sig w:usb0="00000000" w:usb1="00000000" w:usb2="00000000" w:usb3="00000000" w:csb0="00000000" w:csb1="00000000"/>
    <w:embedRegular r:id="rId8" w:fontKey="{378599B0-7FDA-4AF8-8FF3-7FC3E98D94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right="357" w:firstLine="357"/>
      <w:rPr>
        <w:rStyle w:val="12"/>
        <w:rFonts w:hint="eastAsia" w:ascii="宋体" w:hAnsi="宋体" w:eastAsia="宋体"/>
        <w:sz w:val="28"/>
        <w:szCs w:val="28"/>
      </w:rPr>
    </w:pPr>
    <w:r>
      <w:rPr>
        <w:rStyle w:val="12"/>
        <w:rFonts w:hint="eastAsia" w:ascii="宋体" w:hAnsi="宋体" w:eastAsia="宋体"/>
        <w:sz w:val="28"/>
        <w:szCs w:val="28"/>
      </w:rPr>
      <w:t xml:space="preserve">— </w:t>
    </w: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1</w:t>
    </w:r>
    <w:r>
      <w:rPr>
        <w:rStyle w:val="12"/>
        <w:rFonts w:ascii="宋体" w:hAnsi="宋体" w:eastAsia="宋体"/>
        <w:sz w:val="28"/>
        <w:szCs w:val="28"/>
      </w:rPr>
      <w:fldChar w:fldCharType="end"/>
    </w:r>
    <w:r>
      <w:rPr>
        <w:rStyle w:val="12"/>
        <w:rFonts w:hint="eastAsia" w:ascii="宋体" w:hAnsi="宋体" w:eastAsia="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right="357" w:firstLine="357"/>
      <w:rPr>
        <w:rStyle w:val="12"/>
        <w:rFonts w:hint="eastAsia" w:ascii="宋体" w:hAnsi="宋体" w:eastAsia="宋体"/>
        <w:sz w:val="28"/>
        <w:szCs w:val="28"/>
      </w:rPr>
    </w:pPr>
    <w:r>
      <w:rPr>
        <w:rStyle w:val="12"/>
        <w:rFonts w:hint="eastAsia" w:ascii="宋体" w:hAnsi="宋体" w:eastAsia="宋体"/>
        <w:sz w:val="28"/>
        <w:szCs w:val="28"/>
      </w:rPr>
      <w:t xml:space="preserve">— </w:t>
    </w: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4</w:t>
    </w:r>
    <w:r>
      <w:rPr>
        <w:rStyle w:val="12"/>
        <w:rFonts w:ascii="宋体" w:hAnsi="宋体" w:eastAsia="宋体"/>
        <w:sz w:val="28"/>
        <w:szCs w:val="28"/>
      </w:rPr>
      <w:fldChar w:fldCharType="end"/>
    </w:r>
    <w:r>
      <w:rPr>
        <w:rStyle w:val="12"/>
        <w:rFonts w:hint="eastAsia" w:ascii="宋体" w:hAnsi="宋体" w:eastAsia="宋体"/>
        <w:sz w:val="28"/>
        <w:szCs w:val="28"/>
      </w:rPr>
      <w:t xml:space="preserve"> —</w:t>
    </w:r>
  </w:p>
  <w:p>
    <w:pPr>
      <w:pStyle w:val="6"/>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63" w:lineRule="auto"/>
      <w:ind w:left="7443"/>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kinsoku w:val="0"/>
                            <w:wordWrap/>
                            <w:overflowPunct/>
                            <w:topLinePunct w:val="0"/>
                            <w:autoSpaceDE w:val="0"/>
                            <w:autoSpaceDN w:val="0"/>
                            <w:bidi w:val="0"/>
                            <w:adjustRightInd w:val="0"/>
                            <w:snapToGrid w:val="0"/>
                            <w:ind w:right="357" w:firstLine="357"/>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yoMUAgAAFQQAAA4AAABkcnMvZTJvRG9jLnhtbK1Ty47TMBTdI/EP&#10;lvc0aRFVqZ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JPKgxQCAAAVBAAADgAAAAAAAAAB&#10;ACAAAAAfAQAAZHJzL2Uyb0RvYy54bWxQSwUGAAAAAAYABgBZAQAApQUAAAAA&#10;">
              <v:fill on="f" focussize="0,0"/>
              <v:stroke on="f" weight="0.5pt"/>
              <v:imagedata o:title=""/>
              <o:lock v:ext="edit" aspectratio="f"/>
              <v:textbox inset="0mm,0mm,0mm,0mm" style="mso-fit-shape-to-text:t;">
                <w:txbxContent>
                  <w:p>
                    <w:pPr>
                      <w:pStyle w:val="6"/>
                      <w:keepNext w:val="0"/>
                      <w:keepLines w:val="0"/>
                      <w:pageBreakBefore w:val="0"/>
                      <w:widowControl/>
                      <w:kinsoku w:val="0"/>
                      <w:wordWrap/>
                      <w:overflowPunct/>
                      <w:topLinePunct w:val="0"/>
                      <w:autoSpaceDE w:val="0"/>
                      <w:autoSpaceDN w:val="0"/>
                      <w:bidi w:val="0"/>
                      <w:adjustRightInd w:val="0"/>
                      <w:snapToGrid w:val="0"/>
                      <w:ind w:right="357" w:firstLine="357"/>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9EC13"/>
    <w:multiLevelType w:val="singleLevel"/>
    <w:tmpl w:val="EB79EC13"/>
    <w:lvl w:ilvl="0" w:tentative="0">
      <w:start w:val="2"/>
      <w:numFmt w:val="chineseCounting"/>
      <w:suff w:val="nothing"/>
      <w:lvlText w:val="%1、"/>
      <w:lvlJc w:val="left"/>
      <w:rPr>
        <w:rFonts w:hint="eastAsia"/>
      </w:rPr>
    </w:lvl>
  </w:abstractNum>
  <w:abstractNum w:abstractNumId="1">
    <w:nsid w:val="1EAB50BD"/>
    <w:multiLevelType w:val="singleLevel"/>
    <w:tmpl w:val="1EAB50B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documentProtection w:enforcement="0"/>
  <w:drawingGridHorizontalSpacing w:val="158"/>
  <w:drawingGridVerticalSpacing w:val="290"/>
  <w:displayHorizontalDrawingGridEvery w:val="2"/>
  <w:displayVerticalDrawingGridEvery w:val="2"/>
  <w:characterSpacingControl w:val="doNotCompress"/>
  <w:hdrShapeDefaults>
    <o:shapelayout v:ext="edit">
      <o:idmap v:ext="edit" data="2"/>
    </o:shapelayout>
  </w:hdrShapeDefaults>
  <w:compat>
    <w:spaceForUL/>
    <w:ulTrailSpace/>
    <w:useFELayout/>
    <w:compatSetting w:name="compatibilityMode" w:uri="http://schemas.microsoft.com/office/word" w:val="14"/>
  </w:compat>
  <w:docVars>
    <w:docVar w:name="commondata" w:val="eyJoZGlkIjoiMGU1MWNjNjMyOTU1OTcyY2JhNTYwYTJkNDI1ZDM1MDQifQ=="/>
  </w:docVars>
  <w:rsids>
    <w:rsidRoot w:val="00000000"/>
    <w:rsid w:val="0055604F"/>
    <w:rsid w:val="00BF0E19"/>
    <w:rsid w:val="01CF7782"/>
    <w:rsid w:val="02663C42"/>
    <w:rsid w:val="03952934"/>
    <w:rsid w:val="05D93834"/>
    <w:rsid w:val="06744454"/>
    <w:rsid w:val="07767395"/>
    <w:rsid w:val="07A6619A"/>
    <w:rsid w:val="08E832B8"/>
    <w:rsid w:val="0BCB720C"/>
    <w:rsid w:val="0BE40F74"/>
    <w:rsid w:val="0C4A14FA"/>
    <w:rsid w:val="0D7D545A"/>
    <w:rsid w:val="0E36184F"/>
    <w:rsid w:val="0E636419"/>
    <w:rsid w:val="0F256C33"/>
    <w:rsid w:val="0F7E3477"/>
    <w:rsid w:val="102324A2"/>
    <w:rsid w:val="1065778D"/>
    <w:rsid w:val="114143DD"/>
    <w:rsid w:val="12613BB7"/>
    <w:rsid w:val="12B722E9"/>
    <w:rsid w:val="13161BDA"/>
    <w:rsid w:val="138F28CD"/>
    <w:rsid w:val="140C03C2"/>
    <w:rsid w:val="14270D58"/>
    <w:rsid w:val="143B18B7"/>
    <w:rsid w:val="14455307"/>
    <w:rsid w:val="15712D3B"/>
    <w:rsid w:val="16684F4B"/>
    <w:rsid w:val="188F003A"/>
    <w:rsid w:val="18FF29C9"/>
    <w:rsid w:val="191750C5"/>
    <w:rsid w:val="19E4479F"/>
    <w:rsid w:val="1AA974C1"/>
    <w:rsid w:val="1AFA1BD0"/>
    <w:rsid w:val="1CF66419"/>
    <w:rsid w:val="1DEA0B24"/>
    <w:rsid w:val="1E6E4AD7"/>
    <w:rsid w:val="1EAC455F"/>
    <w:rsid w:val="1F092C51"/>
    <w:rsid w:val="1FBFC22F"/>
    <w:rsid w:val="1FD35953"/>
    <w:rsid w:val="1FE30F60"/>
    <w:rsid w:val="213F4E16"/>
    <w:rsid w:val="21463165"/>
    <w:rsid w:val="226715E5"/>
    <w:rsid w:val="244C54AA"/>
    <w:rsid w:val="247208DB"/>
    <w:rsid w:val="255F47F5"/>
    <w:rsid w:val="26AB52FF"/>
    <w:rsid w:val="26DF5810"/>
    <w:rsid w:val="27E0452D"/>
    <w:rsid w:val="282E7475"/>
    <w:rsid w:val="28702875"/>
    <w:rsid w:val="291A071D"/>
    <w:rsid w:val="2A2A02CA"/>
    <w:rsid w:val="2A614B6C"/>
    <w:rsid w:val="2A7449CB"/>
    <w:rsid w:val="2C9643FB"/>
    <w:rsid w:val="2DD1025A"/>
    <w:rsid w:val="2FD7AE1D"/>
    <w:rsid w:val="2FED0C50"/>
    <w:rsid w:val="301452F1"/>
    <w:rsid w:val="303074BA"/>
    <w:rsid w:val="30727090"/>
    <w:rsid w:val="30932624"/>
    <w:rsid w:val="30B30FC1"/>
    <w:rsid w:val="332A5A6E"/>
    <w:rsid w:val="34AD4CF7"/>
    <w:rsid w:val="34CD6EF6"/>
    <w:rsid w:val="34EF2700"/>
    <w:rsid w:val="35A3623A"/>
    <w:rsid w:val="35FF1EE2"/>
    <w:rsid w:val="365305C5"/>
    <w:rsid w:val="39B10B7F"/>
    <w:rsid w:val="39BA0826"/>
    <w:rsid w:val="3A9F600D"/>
    <w:rsid w:val="3AD969A0"/>
    <w:rsid w:val="3AF53BB0"/>
    <w:rsid w:val="3BA1126C"/>
    <w:rsid w:val="3C3D7F16"/>
    <w:rsid w:val="3D0E432A"/>
    <w:rsid w:val="3DEB97CC"/>
    <w:rsid w:val="3E5E5F0E"/>
    <w:rsid w:val="3FCBA4B5"/>
    <w:rsid w:val="3FEF9AD7"/>
    <w:rsid w:val="409F5900"/>
    <w:rsid w:val="40CA4C2B"/>
    <w:rsid w:val="40EA548F"/>
    <w:rsid w:val="41874333"/>
    <w:rsid w:val="41A5138A"/>
    <w:rsid w:val="425F3C2F"/>
    <w:rsid w:val="42621029"/>
    <w:rsid w:val="42D7226B"/>
    <w:rsid w:val="437C3F27"/>
    <w:rsid w:val="43F922DE"/>
    <w:rsid w:val="453B0C21"/>
    <w:rsid w:val="46AD6654"/>
    <w:rsid w:val="46D30747"/>
    <w:rsid w:val="477707D9"/>
    <w:rsid w:val="47CF0F0F"/>
    <w:rsid w:val="4959068D"/>
    <w:rsid w:val="49723BB7"/>
    <w:rsid w:val="499A5C16"/>
    <w:rsid w:val="49FFAFF9"/>
    <w:rsid w:val="4A2B4E62"/>
    <w:rsid w:val="4B2A1534"/>
    <w:rsid w:val="4CAC181F"/>
    <w:rsid w:val="4D3C7046"/>
    <w:rsid w:val="4D9F1366"/>
    <w:rsid w:val="4F396F09"/>
    <w:rsid w:val="4FC03768"/>
    <w:rsid w:val="501E6ED7"/>
    <w:rsid w:val="50570E49"/>
    <w:rsid w:val="50BE1CD1"/>
    <w:rsid w:val="5168784D"/>
    <w:rsid w:val="52B3031A"/>
    <w:rsid w:val="52BA10C9"/>
    <w:rsid w:val="5320220C"/>
    <w:rsid w:val="535B4247"/>
    <w:rsid w:val="535D51AC"/>
    <w:rsid w:val="542108BF"/>
    <w:rsid w:val="545C1D7C"/>
    <w:rsid w:val="54A23403"/>
    <w:rsid w:val="54BA6AA3"/>
    <w:rsid w:val="55674FA4"/>
    <w:rsid w:val="566E76CE"/>
    <w:rsid w:val="57AD1ACD"/>
    <w:rsid w:val="57F70FE0"/>
    <w:rsid w:val="58445F5F"/>
    <w:rsid w:val="589216EE"/>
    <w:rsid w:val="58A5065D"/>
    <w:rsid w:val="58AE5A93"/>
    <w:rsid w:val="597436C4"/>
    <w:rsid w:val="5A11518E"/>
    <w:rsid w:val="5B576363"/>
    <w:rsid w:val="5B6833E0"/>
    <w:rsid w:val="5BAA161F"/>
    <w:rsid w:val="5BAC59E3"/>
    <w:rsid w:val="5CCB5790"/>
    <w:rsid w:val="5D41229D"/>
    <w:rsid w:val="5E065D33"/>
    <w:rsid w:val="5EC4038A"/>
    <w:rsid w:val="5EE42E3D"/>
    <w:rsid w:val="5F7A57AC"/>
    <w:rsid w:val="5F893C3D"/>
    <w:rsid w:val="5FDF43BB"/>
    <w:rsid w:val="603242D9"/>
    <w:rsid w:val="60467201"/>
    <w:rsid w:val="60A07495"/>
    <w:rsid w:val="619F52ED"/>
    <w:rsid w:val="63C71A33"/>
    <w:rsid w:val="63DE255A"/>
    <w:rsid w:val="640D301B"/>
    <w:rsid w:val="64740D2C"/>
    <w:rsid w:val="65322A32"/>
    <w:rsid w:val="66877B64"/>
    <w:rsid w:val="67A9489F"/>
    <w:rsid w:val="67D53AEE"/>
    <w:rsid w:val="69406754"/>
    <w:rsid w:val="6AB161F3"/>
    <w:rsid w:val="6BA13211"/>
    <w:rsid w:val="6BAB267B"/>
    <w:rsid w:val="6BE046D1"/>
    <w:rsid w:val="6CD43218"/>
    <w:rsid w:val="6D8F4D2B"/>
    <w:rsid w:val="6D9E1911"/>
    <w:rsid w:val="6E195EC3"/>
    <w:rsid w:val="6E1D2124"/>
    <w:rsid w:val="6E3D27C7"/>
    <w:rsid w:val="6E6B60CD"/>
    <w:rsid w:val="6FEE3FB9"/>
    <w:rsid w:val="70D746AC"/>
    <w:rsid w:val="70EE4D4E"/>
    <w:rsid w:val="70F862B4"/>
    <w:rsid w:val="715D3FAF"/>
    <w:rsid w:val="72587BCF"/>
    <w:rsid w:val="73165394"/>
    <w:rsid w:val="732B7092"/>
    <w:rsid w:val="7334034F"/>
    <w:rsid w:val="73C86542"/>
    <w:rsid w:val="73D43D14"/>
    <w:rsid w:val="7417029C"/>
    <w:rsid w:val="744B1FB5"/>
    <w:rsid w:val="750031FE"/>
    <w:rsid w:val="75127B34"/>
    <w:rsid w:val="7578606B"/>
    <w:rsid w:val="75A924F0"/>
    <w:rsid w:val="76DD4D50"/>
    <w:rsid w:val="76E56B92"/>
    <w:rsid w:val="7745F219"/>
    <w:rsid w:val="77A17922"/>
    <w:rsid w:val="77F9150C"/>
    <w:rsid w:val="78574485"/>
    <w:rsid w:val="79FF6C78"/>
    <w:rsid w:val="7AB756AF"/>
    <w:rsid w:val="7B653CDA"/>
    <w:rsid w:val="7B6F0D8A"/>
    <w:rsid w:val="7BFF3987"/>
    <w:rsid w:val="7D352BEC"/>
    <w:rsid w:val="7D5B1DE6"/>
    <w:rsid w:val="7DBF28B4"/>
    <w:rsid w:val="7DC06BDF"/>
    <w:rsid w:val="7E2323F9"/>
    <w:rsid w:val="7E604EAB"/>
    <w:rsid w:val="7E6B703A"/>
    <w:rsid w:val="7EEA2AF6"/>
    <w:rsid w:val="7F0451D9"/>
    <w:rsid w:val="7F6F47AA"/>
    <w:rsid w:val="7FD7CD31"/>
    <w:rsid w:val="7FEF3ABC"/>
    <w:rsid w:val="7FFA5204"/>
    <w:rsid w:val="9A7FD6A9"/>
    <w:rsid w:val="AD7B149A"/>
    <w:rsid w:val="AFE78ACF"/>
    <w:rsid w:val="BF3F2A93"/>
    <w:rsid w:val="DFBA87EB"/>
    <w:rsid w:val="F7FFCAAE"/>
    <w:rsid w:val="F9831D3B"/>
    <w:rsid w:val="FB7C80B1"/>
    <w:rsid w:val="FD7642EF"/>
    <w:rsid w:val="FEF7A3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32"/>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仿宋_GBK" w:hAnsi="Times New Roman" w:eastAsia="方正仿宋_GBK" w:cs="Times New Roman"/>
      <w:color w:val="000000"/>
      <w:sz w:val="24"/>
      <w:szCs w:val="24"/>
      <w:lang w:val="en-US" w:eastAsia="zh-CN" w:bidi="ar-SA"/>
    </w:rPr>
  </w:style>
  <w:style w:type="paragraph" w:styleId="3">
    <w:name w:val="Body Text"/>
    <w:basedOn w:val="1"/>
    <w:next w:val="4"/>
    <w:semiHidden/>
    <w:qFormat/>
    <w:uiPriority w:val="0"/>
    <w:rPr>
      <w:rFonts w:ascii="微软雅黑" w:hAnsi="微软雅黑" w:eastAsia="微软雅黑" w:cs="微软雅黑"/>
      <w:sz w:val="31"/>
      <w:szCs w:val="31"/>
      <w:lang w:val="en-US" w:eastAsia="en-US" w:bidi="ar-SA"/>
    </w:rPr>
  </w:style>
  <w:style w:type="paragraph" w:styleId="4">
    <w:name w:val="toc 5"/>
    <w:basedOn w:val="1"/>
    <w:next w:val="1"/>
    <w:qFormat/>
    <w:uiPriority w:val="0"/>
    <w:pPr>
      <w:ind w:left="1680" w:leftChars="800"/>
    </w:pPr>
    <w:rPr>
      <w:rFonts w:ascii="Calibri" w:hAnsi="Calibri"/>
    </w:rPr>
  </w:style>
  <w:style w:type="paragraph" w:styleId="5">
    <w:name w:val="index 4"/>
    <w:basedOn w:val="1"/>
    <w:next w:val="1"/>
    <w:qFormat/>
    <w:uiPriority w:val="0"/>
    <w:pPr>
      <w:ind w:left="1120" w:hanging="280"/>
      <w:jc w:val="left"/>
    </w:pPr>
    <w:rPr>
      <w:rFonts w:ascii="Times New Roman" w:hAnsi="Times New Roman"/>
      <w:sz w:val="20"/>
      <w:szCs w:val="20"/>
    </w:r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报告正文"/>
    <w:basedOn w:val="8"/>
    <w:next w:val="5"/>
    <w:qFormat/>
    <w:uiPriority w:val="0"/>
    <w:pPr>
      <w:spacing w:after="0" w:line="600" w:lineRule="exact"/>
      <w:ind w:firstLine="200" w:firstLineChars="200"/>
      <w:jc w:val="left"/>
    </w:pPr>
    <w:rPr>
      <w:rFonts w:ascii="宋体" w:hAnsi="宋体"/>
      <w:color w:val="000000"/>
      <w:kern w:val="0"/>
      <w:sz w:val="28"/>
      <w:szCs w:val="24"/>
      <w:lang w:bidi="en-US"/>
    </w:rPr>
  </w:style>
  <w:style w:type="paragraph" w:styleId="8">
    <w:name w:val="Body Text First Indent"/>
    <w:basedOn w:val="3"/>
    <w:qFormat/>
    <w:uiPriority w:val="0"/>
    <w:pPr>
      <w:ind w:firstLine="420" w:firstLineChars="10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page number"/>
    <w:basedOn w:val="11"/>
    <w:qFormat/>
    <w:uiPriority w:val="0"/>
  </w:style>
  <w:style w:type="paragraph" w:customStyle="1" w:styleId="13">
    <w:name w:val="默认"/>
    <w:qFormat/>
    <w:uiPriority w:val="0"/>
    <w:rPr>
      <w:rFonts w:ascii="Helvetica" w:hAnsi="Helvetica" w:eastAsia="Helvetica" w:cs="Helvetica"/>
      <w:color w:val="000000"/>
      <w:sz w:val="22"/>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微软雅黑" w:hAnsi="微软雅黑" w:eastAsia="微软雅黑" w:cs="微软雅黑"/>
      <w:sz w:val="20"/>
      <w:szCs w:val="20"/>
      <w:lang w:val="en-US" w:eastAsia="en-US" w:bidi="ar-SA"/>
    </w:rPr>
  </w:style>
  <w:style w:type="paragraph" w:customStyle="1" w:styleId="16">
    <w:name w:val="WPSOffice手动目录 1"/>
    <w:qFormat/>
    <w:uiPriority w:val="0"/>
    <w:pPr>
      <w:ind w:leftChars="0"/>
    </w:pPr>
    <w:rPr>
      <w:rFonts w:ascii="Arial" w:hAnsi="Arial" w:eastAsia="Arial" w:cs="Arial"/>
      <w:sz w:val="20"/>
      <w:szCs w:val="20"/>
    </w:rPr>
  </w:style>
  <w:style w:type="paragraph" w:customStyle="1" w:styleId="17">
    <w:name w:val="WPSOffice手动目录 2"/>
    <w:qFormat/>
    <w:uiPriority w:val="0"/>
    <w:pPr>
      <w:ind w:leftChars="200"/>
    </w:pPr>
    <w:rPr>
      <w:rFonts w:ascii="Arial" w:hAnsi="Arial" w:eastAsia="Arial" w:cs="Arial"/>
      <w:sz w:val="20"/>
      <w:szCs w:val="20"/>
    </w:rPr>
  </w:style>
  <w:style w:type="paragraph" w:customStyle="1" w:styleId="18">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1145</Words>
  <Characters>1252</Characters>
  <TotalTime>0</TotalTime>
  <ScaleCrop>false</ScaleCrop>
  <LinksUpToDate>false</LinksUpToDate>
  <CharactersWithSpaces>1406</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2023-05-09T09:13:00Z</dcterms:created>
  <dc:creator>小肖</dc:creator>
  <cp:lastModifiedBy>admin</cp:lastModifiedBy>
  <dcterms:modified xsi:type="dcterms:W3CDTF">2025-12-25T09:25:33Z</dcterms:modified>
  <dc:title>巫山县人民政府办公室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2023-05-05T09:30:48Z</vt:filetime>
  </property>
  <property fmtid="{D5CDD505-2E9C-101B-9397-08002B2CF9AE}" pid="4" name="KSOProductBuildVer">
    <vt:lpwstr>2052-11.8.2.9022</vt:lpwstr>
  </property>
  <property fmtid="{D5CDD505-2E9C-101B-9397-08002B2CF9AE}" pid="5" name="ICV">
    <vt:lpwstr>C5830B51857CCCA90E333969E32E2088</vt:lpwstr>
  </property>
  <property fmtid="{D5CDD505-2E9C-101B-9397-08002B2CF9AE}" pid="6" name="KSOTemplateDocerSaveRecord">
    <vt:lpwstr>eyJoZGlkIjoiY2VjYjQ4MzI0MTA0Y2VkODM5ZjQzM2I0MDZmZjUzYjMiLCJ1c2VySWQiOiIxNTQxNzIwMjg2In0=</vt:lpwstr>
  </property>
</Properties>
</file>