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695325</wp:posOffset>
                </wp:positionV>
                <wp:extent cx="1711960" cy="909320"/>
                <wp:effectExtent l="0" t="0" r="2540" b="508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119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 2" w:char="0052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类已解决或采纳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类正在研究解决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类不具备条件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类涉及上级国家机关职权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19.05pt;margin-top:54.75pt;height:71.6pt;width:134.8pt;z-index:251661312;mso-width-relative:page;mso-height-relative:page;" fillcolor="#FFFFFF" filled="t" stroked="f" coordsize="21600,21600" o:gfxdata="UEsFBgAAAAAAAAAAAAAAAAAAAAAAAFBLAwQKAAAAAACHTuJAAAAAAAAAAAAAAAAABAAAAGRycy9Q&#10;SwMEFAAAAAgAh07iQOgd0rXZAAAACwEAAA8AAABkcnMvZG93bnJldi54bWxNj0FOwzAQRfdI3MEa&#10;JDaI2gkkbtI4lUACsW3pASaxm0SNx1HsNu3tMStYjv7T/2+q7dWO7GJmPzhSkKwEMEOt0wN1Cg7f&#10;H89rYD4gaRwdGQU342Fb399VWGq30M5c9qFjsYR8iQr6EKaSc9/2xqJfuclQzI5uthjiOXdcz7jE&#10;cjvyVIicWxwoLvQ4mffetKf92So4fi1PWbE0n+Egd6/5Gw6ycTelHh8SsQEWzDX8wfCrH9Whjk6N&#10;O5P2bFSQv6yTiMZAFBmwSBRCSmCNgjRLJfC64v9/qH8AUEsDBBQAAAAIAIdO4kBeekvgqgEAADAD&#10;AAAOAAAAZHJzL2Uyb0RvYy54bWytUktu2zAQ3RfIHQjua0pOkNaC5QBt4G6KtkDaA9AUKRHgD0Pa&#10;ki+Q3KCrbrrvuXyODulP+tkV1WJEzrx5M2+Gy7vJGrKTELV3La1nFSXSCd9p17f0y+f1y9eUxMRd&#10;x413sqV7Gend6urFcgyNnPvBm04CQRIXmzG0dEgpNIxFMUjL48wH6TCoPFie8Ao964CPyG4Nm1fV&#10;LRs9dAG8kDGi9/4YpKvCr5QU6aNSUSZiWoq9pWKh2E22bLXkTQ88DFqc2uD/0IXl2mHRC9U9T5xs&#10;Qf9FZbUAH71KM+Et80ppIYsGVFNXf6h5GHiQRQsOJ4bLmOL/oxUfdp+A6K6l15Q4bnFFh69Ph28/&#10;Dt8fSX2T5zOG2CDsISAwTW/81NIEW3kORfRn5ZMCm/+oiSAEh72/DFhOiQh01q/qenGLIYGxRbW4&#10;npcNsOfsADG9k96SfGgp4ALLXPnufUzYDELPkFwseqO7tTamXKDfvDVAdhyXvS5fbhJTfoMZl8HO&#10;57RjOHtYlnnUkk9p2kwn7Rvf7VH6NoDuB+zpLL5k4FpKhdMTynv/9V54nx/6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HdK12QAAAAsBAAAPAAAAAAAAAAEAIAAAADgAAABkcnMvZG93bnJldi54&#10;bWxQSwECFAAUAAAACACHTuJAXnpL4KoBAAAwAwAADgAAAAAAAAABACAAAAA+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 2" w:char="0052"/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类已解决或采纳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类正在研究解决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类不具备条件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类涉及上级国家机关职权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709295</wp:posOffset>
                </wp:positionV>
                <wp:extent cx="1350010" cy="638175"/>
                <wp:effectExtent l="0" t="0" r="2540" b="9525"/>
                <wp:wrapNone/>
                <wp:docPr id="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00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□不公开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75.3pt;margin-top:55.85pt;height:50.25pt;width:106.3pt;z-index:251662336;mso-width-relative:page;mso-height-relative:page;" fillcolor="#FFFFFF" filled="t" stroked="f" coordsize="21600,21600" o:gfxdata="UEsFBgAAAAAAAAAAAAAAAAAAAAAAAFBLAwQKAAAAAACHTuJAAAAAAAAAAAAAAAAABAAAAGRycy9Q&#10;SwMEFAAAAAgAh07iQCrDj8fYAAAACwEAAA8AAABkcnMvZG93bnJldi54bWxNj8tOwzAQRfdI/IM1&#10;SGwQ9aM0oSFOJZBAbPv4ACeeJlFjO4rdpv17hhXs5mqO7pwpN1c3sAtOsQ9eg1wIYOibYHvfajjs&#10;P59fgcVkvDVD8KjhhhE21f1daQobZr/Fyy61jEp8LIyGLqWx4Dw2HToTF2FET7tjmJxJFKeW28nM&#10;VO4GroTIuDO9pwudGfGjw+a0OzsNx+/5abWe6690yLcv2bvp8zrctH58kOINWMJr+oPhV5/UoSKn&#10;Opy9jWygvBIZoTRImQMjYpktFbBag5JKAa9K/v+H6gdQSwMEFAAAAAgAh07iQGZwX52qAQAAMAMA&#10;AA4AAABkcnMvZTJvRG9jLnhtbK1SS27bMBDdF+gdCO5rSvk1ECwHaANnU7QFkhyApkiJAH8Y0pZ8&#10;gfYGXXXTfc/lc3RIf9Iku6JajMiZN2/mzXB+M1lDNhKi9q6l9ayiRDrhO+36lj4+LN9dUxITdx03&#10;3smWbmWkN4u3b+ZjaOSZH7zpJBAkcbEZQ0uHlELDWBSDtDzOfJAOg8qD5Qmv0LMO+Ijs1rCzqrpi&#10;o4cugBcyRvTe7oN0UfiVkiJ9USrKRExLsbdULBS7ypYt5rzpgYdBi0Mb/B+6sFw7LHqiuuWJkzXo&#10;V1RWC/DRqzQT3jKvlBayaEA1dfVCzf3AgyxacDgxnMYU/x+t+Lz5CkR3Lb2gxHGLK9r9+L77+Xv3&#10;6xupL/N8xhAbhN0HBKbpg59ammAtj6GI/qx8UmDzHzURhOCwt6cByykRgc76/LJCmZQIjF2dX9fv&#10;SwX2lB0gpjvpLcmHlgIusMyVbz7FhM0g9AjJxaI3ultqY8oF+tVHA2TDcdnL8uUmMeUZzLgMdj6n&#10;7cPZw7LMvZZ8StNqOmhf+W6L0tcBdD9gT0fxJQPXUiocnlDe+9/3wvv00B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CrDj8fYAAAACwEAAA8AAAAAAAAAAQAgAAAAOAAAAGRycy9kb3ducmV2Lnht&#10;bFBLAQIUABQAAAAIAIdO4kBmcF+dqgEAADADAAAOAAAAAAAAAAEAIAAAAD0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 2" w:char="0052"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公开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□不公开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314325</wp:posOffset>
                </wp:positionV>
                <wp:extent cx="1711960" cy="909320"/>
                <wp:effectExtent l="0" t="0" r="2540" b="508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119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A类已解决或采纳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□B类正在研究解决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□C类不具备条件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□D类涉及上级国家机关职权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19.05pt;margin-top:24.75pt;height:71.6pt;width:134.8pt;z-index:251659264;mso-width-relative:page;mso-height-relative:page;" fillcolor="#FFFFFF" filled="t" stroked="f" coordsize="21600,21600" o:gfxdata="UEsFBgAAAAAAAAAAAAAAAAAAAAAAAFBLAwQKAAAAAACHTuJAAAAAAAAAAAAAAAAABAAAAGRycy9Q&#10;SwMEFAAAAAgAh07iQM/KrZvYAAAACgEAAA8AAABkcnMvZG93bnJldi54bWxNj8tOwzAQRfdI/IM1&#10;SGwQdVLauAlxKoEEYtvHB0ziaRIRj6PYbdq/x6xgObpH954pt1c7iAtNvnesIV0kIIgbZ3puNRwP&#10;H88bED4gGxwck4YbedhW93clFsbNvKPLPrQilrAvUEMXwlhI6ZuOLPqFG4ljdnKTxRDPqZVmwjmW&#10;20EukySTFnuOCx2O9N5R870/Ww2nr/lpnc/1Zziq3Sp7w17V7qb140OavIIIdA1/MPzqR3WoolPt&#10;zmy8GDRkL5s0ohpW+RpEBPJEKRB1JPOlAlmV8v8L1Q9QSwMEFAAAAAgAh07iQJhNfqepAQAALwMA&#10;AA4AAABkcnMvZTJvRG9jLnhtbK1SS44TMRDdI80dLO+Ju4NmIK10RoJR2CBAmpkDOG6725J/Kjvp&#10;zgXgBqzYsOdcOQdl5zMM7BC9cNtVr57r1fPydrKG7CRE7V1L61lFiXTCd9r1LX18WL98Q0lM3HXc&#10;eCdbupeR3q6uXizH0Mi5H7zpJBAkcbEZQ0uHlELDWBSDtDzOfJAOk8qD5QmP0LMO+Ijs1rB5Vd2w&#10;0UMXwAsZI0bvjkm6KvxKSZE+KRVlIqal2FsqK5R1k1e2WvKmBx4GLU5t8H/ownLt8NIL1R1PnGxB&#10;/0VltQAfvUoz4S3zSmkhiwZUU1d/qLkfeJBFCw4nhsuY4v+jFR93n4HoDr2jxHGLFh2+fT18/3n4&#10;8YVc5/GMITaIug+IS9NbP7U0wVaeUxHjWfikwOY/SiIIwVnvL/OVUyICg/Xrul7cYEpgblEtXs2L&#10;AeypOkBM76W3JG9aCuhfGSvffYgJm0HoGZIvi97obq2NKQfoN+8MkB1Hr9fly01iyTOYcRnsfC47&#10;pnOEZZlHLXmXps100r7x3R6lbwPofsCezuJLBbpSbji9oGz77+fC+/TO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8qtm9gAAAAKAQAADwAAAAAAAAABACAAAAA4AAAAZHJzL2Rvd25yZXYueG1s&#10;UEsBAhQAFAAAAAgAh07iQJhNfqepAQAALwMAAA4AAAAAAAAAAQAgAAAAP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sym w:font="Wingdings 2" w:char="0052"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A类已解决或采纳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□B类正在研究解决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□C类不具备条件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□D类涉及上级国家机关职权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328295</wp:posOffset>
                </wp:positionV>
                <wp:extent cx="1350010" cy="638175"/>
                <wp:effectExtent l="0" t="0" r="2540" b="952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00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公开  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□不公开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5.3pt;margin-top:25.85pt;height:50.25pt;width:106.3pt;z-index:251660288;mso-width-relative:page;mso-height-relative:page;" fillcolor="#FFFFFF" filled="t" stroked="f" coordsize="21600,21600" o:gfxdata="UEsFBgAAAAAAAAAAAAAAAAAAAAAAAFBLAwQKAAAAAACHTuJAAAAAAAAAAAAAAAAABAAAAGRycy9Q&#10;SwMEFAAAAAgAh07iQC2bN4rWAAAACgEAAA8AAABkcnMvZG93bnJldi54bWxNj0FOwzAQRfdI3MEa&#10;JDaI2klJAiFOJZBAbFt6gEk8TSJiO4rdpr090xUsv/7TnzfV5mxHcaI5DN5pSFYKBLnWm8F1Gvbf&#10;H4/PIEJEZ3D0jjRcKMCmvr2psDR+cVs67WIneMSFEjX0MU6llKHtyWJY+Ykcdwc/W4wc506aGRce&#10;t6NMlcqlxcHxhR4neu+p/dkdrYbD1/KQvSzNZ9wX26f8DYei8Ret7+8S9Qoi0jn+wXDVZ3Wo2anx&#10;R2eCGDlnKmdUQ5YUIBhY5+sURHNt0hRkXcn/L9S/UEsDBBQAAAAIAIdO4kBR67ZkpwEAAC8DAAAO&#10;AAAAZHJzL2Uyb0RvYy54bWytUkuOEzEQ3SNxB8t74k5GE0atdEaCUdggQBo4gON2d1uyXVbZSXcu&#10;ADdgxYY958o5KDuf4bND9KLaVfXquV6VV/eTs2yvMRrwDZ/PKs60V9Aa3zf808fNizvOYpK+lRa8&#10;bvhBR36/fv5sNYZaL2AA22pkROJjPYaGDymFWoioBu1knEHQnpIdoJOJXOxFi3IkdmfFoqqWYgRs&#10;A4LSMVL04ZTk68LfdVql910XdWK24dRbKhaL3WYr1itZ9yjDYNS5DfkPXThpPF16pXqQSbIdmr+o&#10;nFEIEbo0U+AEdJ1RumggNfPqDzWPgwy6aKHhxHAdU/x/tOrd/gMy0zZ8wZmXjlZ0/Prl+O3H8ftn&#10;tszjGUOsCfUYCJemVzA1POFOX1KR4ln41KHLf5LECEKzPlznq6fEFAXnN7cVqeRMUW55czd/eZtp&#10;xFN1wJjeaHAsHxqOtL8yVrl/G9MJeoHkyyJY026MtcXBfvvaIttL2vWmfGf232DWZ7CHXHZizBGR&#10;ZZ605FOattNZ+xbaA0nfBTT9QD1dxJcK2krp//yC8tp/9Qvv0ztf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tmzeK1gAAAAoBAAAPAAAAAAAAAAEAIAAAADgAAABkcnMvZG93bnJldi54bWxQSwEC&#10;FAAUAAAACACHTuJAUeu2ZKcBAAAvAwAADgAAAAAAAAABACAAAAA7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sym w:font="Wingdings 2" w:char="0052"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公开  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□不公开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30" w:firstLineChars="3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是否公开 ：</w:t>
      </w:r>
      <w:r>
        <w:rPr>
          <w:rFonts w:hint="eastAsia"/>
        </w:rPr>
        <w:t xml:space="preserve">                        　　　　　　　</w:t>
      </w:r>
      <w:r>
        <w:rPr>
          <w:rFonts w:hint="eastAsia"/>
          <w:sz w:val="18"/>
          <w:szCs w:val="18"/>
        </w:rPr>
        <w:t>办理结果：</w:t>
      </w:r>
    </w:p>
    <w:p>
      <w:pPr>
        <w:pStyle w:val="2"/>
      </w:pPr>
    </w:p>
    <w:p>
      <w:pPr>
        <w:pStyle w:val="3"/>
      </w:pPr>
    </w:p>
    <w:p/>
    <w:p>
      <w:pPr>
        <w:spacing w:line="560" w:lineRule="exact"/>
        <w:ind w:firstLine="900" w:firstLineChars="500"/>
        <w:rPr>
          <w:sz w:val="18"/>
          <w:szCs w:val="18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巫溪县教育委员会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关于县十八届人大二次会议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第60号建议答复函</w:t>
      </w:r>
    </w:p>
    <w:p>
      <w:pPr>
        <w:pStyle w:val="2"/>
        <w:spacing w:line="560" w:lineRule="exact"/>
      </w:pP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龚莉华</w:t>
      </w:r>
      <w:r>
        <w:rPr>
          <w:rFonts w:eastAsia="方正仿宋_GBK"/>
          <w:sz w:val="32"/>
          <w:szCs w:val="32"/>
        </w:rPr>
        <w:t>代表：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你在县</w:t>
      </w:r>
      <w:r>
        <w:rPr>
          <w:rFonts w:hint="eastAsia" w:eastAsia="方正仿宋_GBK"/>
          <w:sz w:val="32"/>
          <w:szCs w:val="32"/>
        </w:rPr>
        <w:t>十八</w:t>
      </w:r>
      <w:r>
        <w:rPr>
          <w:rFonts w:eastAsia="方正仿宋_GBK"/>
          <w:sz w:val="32"/>
          <w:szCs w:val="32"/>
        </w:rPr>
        <w:t>届人大</w:t>
      </w: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次会议期间提出的《</w:t>
      </w:r>
      <w:r>
        <w:rPr>
          <w:rFonts w:hint="eastAsia" w:hAnsi="方正仿宋_GBK" w:eastAsia="方正仿宋_GBK"/>
          <w:sz w:val="32"/>
          <w:szCs w:val="32"/>
        </w:rPr>
        <w:t>关于组织县城中学生开展宁厂古镇盐文化研学游的建议</w:t>
      </w:r>
      <w:r>
        <w:rPr>
          <w:rFonts w:eastAsia="方正仿宋_GBK"/>
          <w:sz w:val="32"/>
          <w:szCs w:val="32"/>
        </w:rPr>
        <w:t>》（第</w:t>
      </w:r>
      <w:r>
        <w:rPr>
          <w:rFonts w:hint="eastAsia" w:eastAsia="方正仿宋_GBK"/>
          <w:sz w:val="32"/>
          <w:szCs w:val="32"/>
        </w:rPr>
        <w:t>60</w:t>
      </w:r>
      <w:r>
        <w:rPr>
          <w:rFonts w:eastAsia="方正仿宋_GBK"/>
          <w:sz w:val="32"/>
          <w:szCs w:val="32"/>
        </w:rPr>
        <w:t>号）已收悉，经</w:t>
      </w:r>
      <w:r>
        <w:rPr>
          <w:rFonts w:hint="eastAsia" w:eastAsia="方正仿宋_GBK"/>
          <w:sz w:val="32"/>
          <w:szCs w:val="32"/>
        </w:rPr>
        <w:t>我委</w:t>
      </w:r>
      <w:r>
        <w:rPr>
          <w:rFonts w:eastAsia="方正仿宋_GBK"/>
          <w:sz w:val="32"/>
          <w:szCs w:val="32"/>
        </w:rPr>
        <w:t>研究，现答复如下。</w:t>
      </w:r>
    </w:p>
    <w:p>
      <w:pPr>
        <w:spacing w:line="578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一、我县中小学研学旅行开展情况</w:t>
      </w:r>
    </w:p>
    <w:p>
      <w:pPr>
        <w:spacing w:line="578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年，教育部等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印发的《关于推进中小学生研学旅行的意见》（以下简称“意见”），巫溪县教委积极贯彻落实意见精神，积极提倡学校将“研学旅行”纳入学校综合实践课程予以探索，并根据实际情况，充分利用学校及县内外资源开展研学旅行活动。</w:t>
      </w:r>
      <w:r>
        <w:rPr>
          <w:rFonts w:hint="eastAsia" w:eastAsia="方正仿宋_GBK"/>
          <w:sz w:val="32"/>
          <w:szCs w:val="32"/>
        </w:rPr>
        <w:t>2017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我县向市教委申报了三所（红路小学、通城中学、西宁初中）研学旅行试点学校，三所学校组织开展了以红色文化为主题的研学旅行活动，取得较好效果。随后，各学校结合实际开展一系列研学旅行活动，巫溪中学、白马中学开展优秀学生暑期研学活动、珠海实验小学与林业局合作定期开展植物认识研学实践、各校利用重要时间节点分别开展红色文化研学活动等，积累总结了一些实践经验。同时，县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，县教师进修校组织，开展了研学旅行的课题研究，初步形成《巫溪县研学旅行方案》，并结合巫溪地理、历史和生物多样性等众多资源，设计了研学旅行线路，初步形成生物、地理和历史等研学旅行课程资源。</w:t>
      </w:r>
    </w:p>
    <w:p>
      <w:pPr>
        <w:spacing w:line="578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二、下一步工作措施</w:t>
      </w:r>
    </w:p>
    <w:p>
      <w:pPr>
        <w:spacing w:line="578" w:lineRule="exact"/>
        <w:ind w:firstLine="627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（一）健全完善研学旅行制度机制。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教委协同县发展改革委、县文化旅游委、县财政局、县林业局、县科协、团县委等相关部门，进一步健全完善研学旅行实施方案，从运行模式、课程建设、资源整合、路线设计、项目实施、后勤及安全保障、考核评价等方面进一步健全完善实施方案，形成体制机制，引入有资质的研学旅行组织机构或旅行社，将研学旅行纳入学校综合实践课程，引导学校规范组织实施研学旅行活动，积极动员家长支持，将研学旅行活动组织实践常态化。</w:t>
      </w:r>
    </w:p>
    <w:p>
      <w:pPr>
        <w:spacing w:line="578" w:lineRule="exact"/>
        <w:ind w:firstLine="627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（二）深化研学旅行课程建设。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将研学旅行纳入中小学综合实践活动课程和社会实践活动计划，按照“教育性、实践性、安全性、公益性”原则，原则上，每学年在学期中间（不包括国家法定节假日），集中组织开展小学四、五、六年级</w:t>
      </w: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</w:t>
      </w:r>
      <w:r>
        <w:rPr>
          <w:rFonts w:hint="eastAsia" w:eastAsia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天，初中一、二年</w:t>
      </w:r>
      <w:r>
        <w:rPr>
          <w:rFonts w:hint="eastAsia" w:eastAsia="方正仿宋_GBK"/>
          <w:sz w:val="32"/>
          <w:szCs w:val="32"/>
        </w:rPr>
        <w:t>级5至6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天，高中一、二年级</w:t>
      </w:r>
      <w:r>
        <w:rPr>
          <w:rFonts w:hint="eastAsia" w:eastAsia="方正仿宋_GBK"/>
          <w:sz w:val="32"/>
          <w:szCs w:val="32"/>
        </w:rPr>
        <w:t>5至7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的研学旅行。小学一至三年级、初三年级、高三年级学生的研学旅行工作，参照开展。强化课程育人，寻找各学科教学与研学旅行有机融合的对接点和突破口。有效整合人文、地理、历史、生物、科技等资源，根据学段特点和地域特色，有针对性地开发多种类型的研学旅行课程，形成县内研学旅行精品路线，逐步建立小学阶段以乡（镇）情为主、初中阶段以县情为主、高中阶段以市情国情为主的研学旅行课程体系。</w:t>
      </w:r>
    </w:p>
    <w:p>
      <w:pPr>
        <w:spacing w:line="578" w:lineRule="exact"/>
        <w:ind w:firstLine="627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（三）有效整合研学旅行资源。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合不同领域、不同地域研学旅行资源，依托县、市现有爱国主义教育基地、博物馆、科技馆、纪念园地、实践基地、主题景区、乡镇企业、街道社区、农村等，有效发挥其教育功能。加强教育系统中小学生社会实践（研学旅行）基地建设，充分利用县内宁厂古镇、阴条岭和白果林场、红池坝、兰英大峡谷、通城和文峰等地红色资源等，争取本县各部门及市上支持建设我县研学旅行营地，丰富研学旅行资源。以基地为重要依托，积极推动资源共享和区域合作，打造一批涵盖红色记忆、历史文化、自然生态、工业科技、志愿服务等内容的示范性研学旅行精品线路，逐步形成布局合理、互联互通的研学旅行网络。</w:t>
      </w:r>
    </w:p>
    <w:p>
      <w:pPr>
        <w:spacing w:line="578" w:lineRule="exact"/>
        <w:ind w:firstLine="627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（四）项目引领研学旅行发展。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以项目引领方式推动研学旅行工作，打造研学旅行精品课程。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“走进爱国主义和中国特色社会主义教育基地”红色文化课程项目建设。充分利用县内通城、文峰、西宁、徐家等地外红色资源，有机结合历史文化和爱国主义教育，充分发挥课程育人功能，将社会主义核心价值观的内容和要求细化落实到研学旅行之中，围绕“走进爱国主义和中国特色社会主义教育基地”，依据中小学课程标准和学生实际情况，做好研学旅行课程设计，大力开展 “红色主题班会”“中国特色社会主义理想信念”教育实践活动，推动研学旅行课程化。 </w:t>
      </w:r>
    </w:p>
    <w:p>
      <w:pPr>
        <w:spacing w:line="578" w:lineRule="exact"/>
        <w:ind w:firstLine="642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“读万卷书、行万里路”弘扬优秀传统文化体验项目建设。引领学生传承中华优秀传统文化，体验家乡的山清水秀，了解中华民族悠久历史，感受国家建设成就。根据学生的认识规律充分挖掘优秀传统文化中的教育元素，将传承中华优秀传统文化的种子根植于研学旅行的沃土，着力以最美中国、最美家乡激发学生家国情怀和文化自信。以巫溪历史文化为主线，打造行走中的历史文化课程，重点打造巫溪县内宁厂古镇的盐文化、巫文化，金竹坝悬棺、红池坝春申湖、巫溪传统嫁花非物质文化等课程，通过走进博物馆、文化古迹现场等方式体验、感受、了解，加强传统文化教育。 </w:t>
      </w:r>
    </w:p>
    <w:p>
      <w:pPr>
        <w:spacing w:line="578" w:lineRule="exact"/>
        <w:ind w:firstLine="629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力打造巫溪生物、地理研学课程项目。拓展延伸中小学生物、地理课程，充分利用巫溪本土丰富的自然资源，将国家课程校本化，精心设计研学路线，建设生物多校化、巫溪地学等丰富多彩的校本课程，通过研学方式，在行走中观察学习，在实践中积极探索，让生物、地理活起来，通过研学培养学生了解自然、热爱家乡的情怀。</w:t>
      </w:r>
    </w:p>
    <w:p>
      <w:pPr>
        <w:spacing w:line="578" w:lineRule="exact"/>
        <w:ind w:firstLine="629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好“做一个有道德和守法的公民”志愿服务项目。以志愿服务为切入点，激发学生善良的道德意愿、道德情感，培育正确的道德判断和道德责任，提高道德实践能力尤其是自觉践行能力，引导学生向往和追求讲道德、尊道德、守道德的生活，形成向上向善的道德取向和道德力量；引领学生增强法治意识，帮助学生成为法律的崇尚者，自觉遵守者和坚定捍卫者。并以环保、社会服务、社会实践等为主题，以活动为载体，常态化定期开展志愿服务活动，着力培养学生社会责任感、环保意识、服务社会能力等。</w:t>
      </w:r>
    </w:p>
    <w:p>
      <w:pPr>
        <w:spacing w:line="578" w:lineRule="exact"/>
        <w:ind w:firstLine="629" w:firstLineChars="196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好综合实践基地实践历练项目活动。以培养学生独立生活能力、团结协作精神、科技创新能力等为目标，有效利用县内外学生综合实践基地、农业科技创新企业等资源，积极组织学生参与实践基地活动，走进企业现场，通过体验、感受、实践、学习等有效形式，培养学生综合素养、提高学生实践能力、增强学生视野。 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感谢你对我们工作的支持，以上</w:t>
      </w:r>
      <w:r>
        <w:rPr>
          <w:rFonts w:hint="eastAsia" w:eastAsia="方正仿宋_GBK"/>
          <w:sz w:val="32"/>
          <w:szCs w:val="32"/>
        </w:rPr>
        <w:t>答</w:t>
      </w:r>
      <w:r>
        <w:rPr>
          <w:rFonts w:eastAsia="方正仿宋_GBK"/>
          <w:sz w:val="32"/>
          <w:szCs w:val="32"/>
        </w:rPr>
        <w:t>复函已经</w:t>
      </w:r>
      <w:r>
        <w:rPr>
          <w:rFonts w:hint="eastAsia" w:eastAsia="方正仿宋_GBK"/>
          <w:sz w:val="32"/>
          <w:szCs w:val="32"/>
        </w:rPr>
        <w:t>许正国</w:t>
      </w:r>
      <w:r>
        <w:rPr>
          <w:rFonts w:eastAsia="方正仿宋_GBK"/>
          <w:sz w:val="32"/>
          <w:szCs w:val="32"/>
        </w:rPr>
        <w:t>主任审签，请如实填写建议办理答复函回执（已随本</w:t>
      </w:r>
      <w:r>
        <w:rPr>
          <w:rFonts w:hint="eastAsia" w:eastAsia="方正仿宋_GBK"/>
          <w:sz w:val="32"/>
          <w:szCs w:val="32"/>
        </w:rPr>
        <w:t>答</w:t>
      </w:r>
      <w:r>
        <w:rPr>
          <w:rFonts w:eastAsia="方正仿宋_GBK"/>
          <w:sz w:val="32"/>
          <w:szCs w:val="32"/>
        </w:rPr>
        <w:t>复函寄出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，并在收到</w:t>
      </w:r>
      <w:r>
        <w:rPr>
          <w:rFonts w:hint="eastAsia" w:eastAsia="方正仿宋_GBK"/>
          <w:sz w:val="32"/>
          <w:szCs w:val="32"/>
        </w:rPr>
        <w:t>答</w:t>
      </w:r>
      <w:r>
        <w:rPr>
          <w:rFonts w:eastAsia="方正仿宋_GBK"/>
          <w:sz w:val="32"/>
          <w:szCs w:val="32"/>
        </w:rPr>
        <w:t>复函二十个工作日内寄送县人大常委会人事代表工委。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此函</w:t>
      </w:r>
    </w:p>
    <w:p>
      <w:pPr>
        <w:overflowPunct w:val="0"/>
        <w:spacing w:line="594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刘晓峰</w:t>
      </w:r>
      <w:r>
        <w:rPr>
          <w:rFonts w:eastAsia="方正仿宋_GBK"/>
          <w:sz w:val="32"/>
          <w:szCs w:val="32"/>
        </w:rPr>
        <w:t xml:space="preserve">     联系电话：</w:t>
      </w:r>
      <w:r>
        <w:rPr>
          <w:rFonts w:hint="eastAsia" w:eastAsia="方正仿宋_GBK"/>
          <w:sz w:val="32"/>
          <w:szCs w:val="32"/>
          <w:lang w:val="en-US" w:eastAsia="zh-CN"/>
        </w:rPr>
        <w:t>023-51510971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3"/>
      </w:pPr>
    </w:p>
    <w:p>
      <w:pPr>
        <w:pStyle w:val="2"/>
        <w:tabs>
          <w:tab w:val="left" w:pos="5460"/>
        </w:tabs>
        <w:spacing w:line="560" w:lineRule="exact"/>
        <w:ind w:firstLine="4576" w:firstLineChars="143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巫溪县教育委员会</w:t>
      </w:r>
    </w:p>
    <w:p>
      <w:pPr>
        <w:spacing w:line="560" w:lineRule="exact"/>
        <w:ind w:firstLine="4675" w:firstLineChars="1461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29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p>
      <w:pPr>
        <w:pStyle w:val="2"/>
      </w:pPr>
    </w:p>
    <w:p>
      <w:pPr>
        <w:pStyle w:val="3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spacing w:line="600" w:lineRule="exact"/>
        <w:jc w:val="lef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35646423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right="2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56464246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jdiZmY5ZGM1NTIwNzY0ZjdhOTNlZjk1ZTEwNzAifQ=="/>
  </w:docVars>
  <w:rsids>
    <w:rsidRoot w:val="1E5766F9"/>
    <w:rsid w:val="000D178D"/>
    <w:rsid w:val="00183472"/>
    <w:rsid w:val="00367F92"/>
    <w:rsid w:val="00466651"/>
    <w:rsid w:val="004C2E11"/>
    <w:rsid w:val="00584ACB"/>
    <w:rsid w:val="005F170A"/>
    <w:rsid w:val="00736761"/>
    <w:rsid w:val="00926205"/>
    <w:rsid w:val="00934286"/>
    <w:rsid w:val="00960CD6"/>
    <w:rsid w:val="00B1118A"/>
    <w:rsid w:val="00C923E3"/>
    <w:rsid w:val="00CA1F75"/>
    <w:rsid w:val="00CA71A6"/>
    <w:rsid w:val="00FA7354"/>
    <w:rsid w:val="0C8F3821"/>
    <w:rsid w:val="1D7F5E60"/>
    <w:rsid w:val="1D95264F"/>
    <w:rsid w:val="1E5766F9"/>
    <w:rsid w:val="20ED56EA"/>
    <w:rsid w:val="33A81D24"/>
    <w:rsid w:val="39392E7F"/>
    <w:rsid w:val="463B39E4"/>
    <w:rsid w:val="5F2859B9"/>
    <w:rsid w:val="7612754F"/>
    <w:rsid w:val="7E6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4">
    <w:name w:val="Normal Indent"/>
    <w:basedOn w:val="1"/>
    <w:unhideWhenUsed/>
    <w:qFormat/>
    <w:uiPriority w:val="99"/>
    <w:pPr>
      <w:widowControl/>
      <w:spacing w:line="357" w:lineRule="atLeast"/>
      <w:ind w:firstLine="420" w:firstLineChars="200"/>
      <w:textAlignment w:val="baseline"/>
    </w:pPr>
    <w:rPr>
      <w:color w:val="000000"/>
      <w:kern w:val="0"/>
      <w:szCs w:val="20"/>
      <w:u w:color="000000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2558</Words>
  <Characters>2588</Characters>
  <Lines>1</Lines>
  <Paragraphs>5</Paragraphs>
  <TotalTime>17</TotalTime>
  <ScaleCrop>false</ScaleCrop>
  <LinksUpToDate>false</LinksUpToDate>
  <CharactersWithSpaces>2646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向必泉</dc:creator>
  <cp:lastModifiedBy> </cp:lastModifiedBy>
  <cp:lastPrinted>2023-05-25T17:18:00Z</cp:lastPrinted>
  <dcterms:modified xsi:type="dcterms:W3CDTF">2023-11-03T10:38:08Z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1930306EA4E64FFA90F6C48C26EDA9D6_13</vt:lpwstr>
  </property>
</Properties>
</file>