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atLeast"/>
        <w:jc w:val="center"/>
        <w:rPr>
          <w:rFonts w:ascii="微软雅黑" w:hAnsi="微软雅黑" w:eastAsia="微软雅黑" w:cs="微软雅黑"/>
          <w:color w:val="000000"/>
          <w:sz w:val="32"/>
          <w:szCs w:val="32"/>
        </w:rPr>
      </w:pPr>
      <w:r>
        <w:rPr>
          <w:rFonts w:ascii="微软雅黑" w:hAnsi="微软雅黑" w:eastAsia="微软雅黑" w:cs="微软雅黑"/>
          <w:color w:val="000000"/>
          <w:sz w:val="32"/>
          <w:szCs w:val="32"/>
        </w:rPr>
        <w:t>巫溪县</w:t>
      </w:r>
      <w:r>
        <w:rPr>
          <w:rFonts w:hint="eastAsia" w:ascii="微软雅黑" w:hAnsi="微软雅黑" w:eastAsia="微软雅黑" w:cs="微软雅黑"/>
          <w:color w:val="000000"/>
          <w:sz w:val="32"/>
          <w:szCs w:val="32"/>
        </w:rPr>
        <w:t>规划和自然资源</w:t>
      </w:r>
      <w:r>
        <w:rPr>
          <w:rFonts w:ascii="微软雅黑" w:hAnsi="微软雅黑" w:eastAsia="微软雅黑" w:cs="微软雅黑"/>
          <w:color w:val="000000"/>
          <w:sz w:val="32"/>
          <w:szCs w:val="32"/>
        </w:rPr>
        <w:t>局：</w:t>
      </w:r>
    </w:p>
    <w:p>
      <w:pPr>
        <w:snapToGrid w:val="0"/>
        <w:spacing w:line="720" w:lineRule="atLeast"/>
        <w:jc w:val="center"/>
        <w:rPr>
          <w:rFonts w:ascii="微软雅黑" w:hAnsi="微软雅黑" w:eastAsia="微软雅黑" w:cs="微软雅黑"/>
          <w:color w:val="000000"/>
          <w:sz w:val="32"/>
          <w:szCs w:val="32"/>
        </w:rPr>
      </w:pPr>
      <w:r>
        <w:rPr>
          <w:rFonts w:ascii="微软雅黑" w:hAnsi="微软雅黑" w:eastAsia="微软雅黑" w:cs="微软雅黑"/>
          <w:color w:val="000000"/>
          <w:sz w:val="32"/>
          <w:szCs w:val="32"/>
        </w:rPr>
        <w:t>《</w:t>
      </w:r>
      <w:r>
        <w:rPr>
          <w:rFonts w:hint="eastAsia" w:ascii="微软雅黑" w:hAnsi="微软雅黑" w:eastAsia="微软雅黑" w:cs="微软雅黑"/>
          <w:color w:val="000000"/>
          <w:sz w:val="32"/>
          <w:szCs w:val="32"/>
        </w:rPr>
        <w:t>巫溪县矿产资源总体规划（2021—2025年）》草案解读</w:t>
      </w:r>
    </w:p>
    <w:p>
      <w:pPr>
        <w:pStyle w:val="3"/>
        <w:widowControl/>
        <w:spacing w:beforeAutospacing="0" w:afterAutospacing="0" w:line="420" w:lineRule="atLeast"/>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 </w:t>
      </w:r>
      <w:r>
        <w:rPr>
          <w:rFonts w:hint="eastAsia" w:ascii="方正仿宋_GBK" w:hAnsi="方正仿宋_GBK" w:eastAsia="方正仿宋_GBK" w:cs="方正仿宋_GBK"/>
          <w:color w:val="000000"/>
          <w:sz w:val="21"/>
          <w:szCs w:val="21"/>
        </w:rPr>
        <w:t xml:space="preserve">   </w:t>
      </w:r>
    </w:p>
    <w:p>
      <w:pPr>
        <w:pStyle w:val="3"/>
        <w:widowControl/>
        <w:spacing w:beforeAutospacing="0" w:afterAutospacing="0" w:line="420" w:lineRule="atLeas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按照《巫溪县人民政府办公室关于做好政策解读工作的通知》要求，现将《巫溪县矿产资源总体规划（2021—2025年）（征求意见稿）》草案解读如下：</w:t>
      </w:r>
    </w:p>
    <w:p>
      <w:pPr>
        <w:pStyle w:val="3"/>
        <w:widowControl/>
        <w:spacing w:beforeAutospacing="0" w:afterAutospacing="0" w:line="420" w:lineRule="atLeast"/>
        <w:ind w:firstLine="430"/>
        <w:jc w:val="both"/>
        <w:rPr>
          <w:rFonts w:hint="eastAsia" w:ascii="仿宋" w:hAnsi="仿宋" w:eastAsia="仿宋" w:cs="仿宋"/>
          <w:color w:val="000000"/>
          <w:sz w:val="32"/>
          <w:szCs w:val="32"/>
        </w:rPr>
      </w:pPr>
      <w:r>
        <w:rPr>
          <w:rFonts w:hint="eastAsia" w:ascii="仿宋" w:hAnsi="仿宋" w:eastAsia="仿宋" w:cs="仿宋"/>
          <w:color w:val="000000"/>
          <w:sz w:val="32"/>
          <w:szCs w:val="32"/>
        </w:rPr>
        <w:t>一、起草背景及依据</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矿产资源是经济社会发展的重要物质基础，矿业经济的持续发展，能加快工业化进程，促进社会进步。为切实有效地加强矿产资源勘查、开发利用与保护，促进矿业的可持续发展，满足国民经济和社会发展对矿产资源的需求，重庆市巫溪县人民政府根据重庆市的统一部署，按照《自然资源部关于全面开展矿产资源规划（2021—2025年）编制工作的通知》（自然资发〔2020〕43号）、《自然资源部办公厅关于印发〈省级矿产资源总体规划编制技术规程〉和〈市县级矿产资源总体规划编制要点〉的通知》（自然资办发〔2020〕19号）、重庆市规划和自然资源局关于印发《重庆市区县级矿产资源规划（2021－2025年）编制要点》和《重庆市区县级矿产资源规划（2021－2025年）编制技术要求》的通知（渝规资〔2020〕322号）的基本要求，编制《巫溪县矿产资源总体规划（2021～2025年）》（以下简称《规划》）。</w:t>
      </w:r>
    </w:p>
    <w:p>
      <w:pPr>
        <w:pStyle w:val="3"/>
        <w:widowControl/>
        <w:spacing w:beforeAutospacing="0" w:afterAutospacing="0" w:line="420" w:lineRule="atLeast"/>
        <w:ind w:firstLine="43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二、编制过程</w:t>
      </w:r>
    </w:p>
    <w:p>
      <w:pPr>
        <w:pStyle w:val="3"/>
        <w:widowControl/>
        <w:spacing w:beforeAutospacing="0" w:afterAutospacing="0" w:line="420" w:lineRule="atLeast"/>
        <w:ind w:firstLine="280"/>
        <w:rPr>
          <w:rFonts w:hint="eastAsia" w:ascii="仿宋" w:hAnsi="仿宋" w:eastAsia="仿宋" w:cs="仿宋"/>
          <w:color w:val="auto"/>
          <w:sz w:val="32"/>
          <w:szCs w:val="32"/>
        </w:rPr>
      </w:pPr>
      <w:r>
        <w:rPr>
          <w:rFonts w:hint="eastAsia" w:ascii="仿宋" w:hAnsi="仿宋" w:eastAsia="仿宋" w:cs="仿宋"/>
          <w:color w:val="auto"/>
          <w:sz w:val="32"/>
          <w:szCs w:val="32"/>
        </w:rPr>
        <w:t>《规划》编制过程分为八个阶段。</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一）前期筹备阶段。2020年3月，对《规划》开展了公开招标，与中标单位签订了协议，编制单位组织人员开展资料收集、综合研究等工作。2020年4月初，县规划和自然资源局召开了局长办公会议，审议并通过了《巫溪县矿产资源规划编制工作方案》，落实规划编制的专门机构和人员，确定规划编制工作的思路、原则、主要任务，落实规划基础研究和编制的专项经费，以及规划管理信息系统和数据库建设经费，将规划编制工作方案报市规划和自然资源局备案。</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（二）资料收集和整理阶段。2020年3-5月中旬，项目组人员通过野外现场调查，并到区县各部门收集资料，具体落实了《规划》编制前期资料收集衔接情况，并完成资料收集工作。</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三）《规划》研究编制阶段。2020年6-8月底，完成了《规划》初稿编制工作，进一步梳理了规划目标、任务。2020年9-10月，组织完成了规划指标的进一步讨论，修改完善了《规划》初稿文本，并完成了编制单位内部初审。</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四）《规划》区县初审。2020年10月30日，巫溪县规划和自然资源局组织邀请相关部门参加（2021-2015年）矿产资源总体规划初稿会审，县发展改革委、县经济信息委、县生态环境局、县应急管理局、县林业局、县水务局、县交通局、县文旅委等部门对初稿进行了初审，提出相关的意见和建议，项目组及时对规划进行了修改。</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（五）成果审查论证阶段。2020年12月17日，由重庆市规划和自然资源局组织召开了县级规划与市级规划的初步对接会，规范了下一步规划成果表达的形式和要求。</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（六）市级技术审查阶段。2021年10月20日，受重庆市规划和自然资源局委托，重庆市地调院组织有关专家对该规划进行了技术审查。评审专家原则上同意通过技术审查。</w:t>
      </w:r>
    </w:p>
    <w:p>
      <w:pPr>
        <w:pStyle w:val="3"/>
        <w:widowControl/>
        <w:spacing w:beforeAutospacing="0" w:afterAutospacing="0" w:line="420" w:lineRule="atLeast"/>
        <w:ind w:firstLine="430"/>
        <w:jc w:val="both"/>
        <w:rPr>
          <w:rFonts w:hint="eastAsia" w:ascii="仿宋" w:hAnsi="仿宋" w:eastAsia="仿宋" w:cs="仿宋"/>
          <w:bCs/>
          <w:color w:val="auto"/>
          <w:sz w:val="32"/>
          <w:szCs w:val="32"/>
        </w:rPr>
      </w:pPr>
      <w:r>
        <w:rPr>
          <w:rFonts w:hint="eastAsia" w:ascii="仿宋" w:hAnsi="仿宋" w:eastAsia="仿宋" w:cs="仿宋"/>
          <w:color w:val="auto"/>
          <w:sz w:val="32"/>
          <w:szCs w:val="32"/>
        </w:rPr>
        <w:t>（七）市级审核阶段。2022年12月22日，市局矿管处（市油气办）等相关处室、市地调院及有关专家对规划进行了审核，并出具审核意见。</w:t>
      </w:r>
      <w:bookmarkStart w:id="0" w:name="_GoBack"/>
      <w:bookmarkEnd w:id="0"/>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八）报批备案阶段。2023年1月14日，我县向市规划和自然资源局上报了《巫溪县人民政府关于巫溪县矿产资源总体规划(2021-2025年)》报批的函，2023年2月8日，市规划和自然资源局印发了《重庆市规划和自然资源局关于批准&lt;巫溪县矿产资源总体规划(2021-2025年)&gt;》的复函(渝规资函[2023 ]202号)，批准了我县编制的《巫溪县矿产资源总体规划2021-2025年)》。2023年4月28日市规划和自然资源局进行了成果备案。</w:t>
      </w:r>
    </w:p>
    <w:p>
      <w:pPr>
        <w:pStyle w:val="3"/>
        <w:widowControl/>
        <w:spacing w:beforeAutospacing="0" w:afterAutospacing="0" w:line="420" w:lineRule="atLeast"/>
        <w:ind w:firstLine="972" w:firstLineChars="304"/>
        <w:jc w:val="both"/>
        <w:rPr>
          <w:rFonts w:hint="eastAsia" w:ascii="仿宋" w:hAnsi="仿宋" w:eastAsia="仿宋" w:cs="仿宋"/>
          <w:color w:val="auto"/>
          <w:sz w:val="32"/>
          <w:szCs w:val="32"/>
        </w:rPr>
      </w:pPr>
      <w:r>
        <w:rPr>
          <w:rFonts w:hint="eastAsia" w:ascii="仿宋" w:hAnsi="仿宋" w:eastAsia="仿宋" w:cs="仿宋"/>
          <w:color w:val="auto"/>
          <w:sz w:val="32"/>
          <w:szCs w:val="32"/>
        </w:rPr>
        <w:t>三、主要内容</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《巫溪县矿产资源总体规划2021-2025年)》共六个部分。</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Style w:val="6"/>
          <w:rFonts w:hint="eastAsia" w:ascii="仿宋" w:hAnsi="仿宋" w:eastAsia="仿宋" w:cs="仿宋"/>
          <w:b w:val="0"/>
          <w:color w:val="auto"/>
          <w:sz w:val="32"/>
          <w:szCs w:val="32"/>
        </w:rPr>
        <w:t>（一）现状与形势。</w:t>
      </w:r>
      <w:r>
        <w:rPr>
          <w:rFonts w:hint="eastAsia" w:ascii="仿宋" w:hAnsi="仿宋" w:eastAsia="仿宋" w:cs="仿宋"/>
          <w:color w:val="auto"/>
          <w:sz w:val="32"/>
          <w:szCs w:val="32"/>
        </w:rPr>
        <w:t>介绍了我县矿产资源特点和开发利用现状，总结了上轮规划实施成效，分析了面临的形势与新要求。</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Style w:val="6"/>
          <w:rFonts w:hint="eastAsia" w:ascii="仿宋" w:hAnsi="仿宋" w:eastAsia="仿宋" w:cs="仿宋"/>
          <w:b w:val="0"/>
          <w:color w:val="auto"/>
          <w:sz w:val="32"/>
          <w:szCs w:val="32"/>
        </w:rPr>
        <w:t>（二）指导原则和目标。</w:t>
      </w:r>
      <w:r>
        <w:rPr>
          <w:rFonts w:hint="eastAsia" w:ascii="仿宋" w:hAnsi="仿宋" w:eastAsia="仿宋" w:cs="仿宋"/>
          <w:color w:val="auto"/>
          <w:sz w:val="32"/>
          <w:szCs w:val="32"/>
        </w:rPr>
        <w:t>确立了本轮规划的指导思想和基本原则，提出了本轮规划目标。</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1. 指导思想。以习近平新时代中国特色社会主义思想为指导。</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kern w:val="2"/>
          <w:sz w:val="32"/>
          <w:szCs w:val="32"/>
        </w:rPr>
        <w:t xml:space="preserve"> </w:t>
      </w:r>
      <w:r>
        <w:rPr>
          <w:rFonts w:hint="eastAsia" w:ascii="仿宋" w:hAnsi="仿宋" w:eastAsia="仿宋" w:cs="仿宋"/>
          <w:color w:val="auto"/>
          <w:sz w:val="32"/>
          <w:szCs w:val="32"/>
        </w:rPr>
        <w:t>基本原则。坚持生态优先，绿色发展；坚持需求导向，保障供给；坚持统筹规划，协调发展；坚持深化改革，创新监管。</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3.规划目标。提高矿产资源保障能力；增强矿产资源持续供应能力；提高矿产资源合理利用与保护水平；提出2035年远景目标。</w:t>
      </w:r>
    </w:p>
    <w:p>
      <w:pPr>
        <w:pStyle w:val="3"/>
        <w:widowControl/>
        <w:spacing w:beforeAutospacing="0" w:afterAutospacing="0" w:line="420" w:lineRule="atLeast"/>
        <w:ind w:firstLine="430"/>
        <w:jc w:val="both"/>
        <w:rPr>
          <w:rStyle w:val="6"/>
          <w:rFonts w:hint="eastAsia" w:ascii="仿宋" w:hAnsi="仿宋" w:eastAsia="仿宋" w:cs="仿宋"/>
          <w:b w:val="0"/>
          <w:color w:val="auto"/>
          <w:sz w:val="32"/>
          <w:szCs w:val="32"/>
        </w:rPr>
      </w:pPr>
      <w:r>
        <w:rPr>
          <w:rStyle w:val="6"/>
          <w:rFonts w:hint="eastAsia" w:ascii="仿宋" w:hAnsi="仿宋" w:eastAsia="仿宋" w:cs="仿宋"/>
          <w:b w:val="0"/>
          <w:color w:val="auto"/>
          <w:sz w:val="32"/>
          <w:szCs w:val="32"/>
        </w:rPr>
        <w:t>（三）矿产勘查开发与保护布局</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1.矿产资源勘查开采调控方向。加快推进饰面用灰岩、岩盐资源的勘查，鼓励天然气、页岩气、地热、矿泉水的勘查。积极推进建筑石料用灰岩、饰面用灰岩、制灰用灰岩、岩盐的开采，鼓励开采地热、优质矿泉水。</w:t>
      </w:r>
    </w:p>
    <w:p>
      <w:pPr>
        <w:pStyle w:val="3"/>
        <w:widowControl/>
        <w:spacing w:beforeAutospacing="0" w:afterAutospacing="0" w:line="420" w:lineRule="atLeast"/>
        <w:ind w:firstLine="430"/>
        <w:jc w:val="both"/>
        <w:rPr>
          <w:rStyle w:val="6"/>
          <w:rFonts w:hint="eastAsia" w:ascii="仿宋" w:hAnsi="仿宋" w:eastAsia="仿宋" w:cs="仿宋"/>
          <w:color w:val="auto"/>
          <w:sz w:val="32"/>
          <w:szCs w:val="32"/>
        </w:rPr>
      </w:pPr>
      <w:r>
        <w:rPr>
          <w:rFonts w:hint="eastAsia" w:ascii="仿宋" w:hAnsi="仿宋" w:eastAsia="仿宋" w:cs="仿宋"/>
          <w:color w:val="auto"/>
          <w:sz w:val="32"/>
          <w:szCs w:val="32"/>
        </w:rPr>
        <w:t>2.矿产资源产业重点发展区域。在尖山镇、塘坊镇、上磺镇及通城镇规划建材类矿产资源产业重点发展区域，重点开发朝阳镇、文峰镇、城厢镇等镇的饰面用灰岩和建筑石料用灰岩，同时在田坝镇一带开发岩盐资源。</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3.勘查开采与保护布局。合理规划布局勘查区块，积极引导饰面用灰岩、岩盐等矿产探矿权设置；规划划定开采规划区块30个；确定了矿产资源保护要求。</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（四）加强矿产资源勘查开发利用与保护。</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1.合理确定开发强度。巫溪县进行开采总量调控的主要矿产有：饰面用灰岩、建筑石料用灰岩、砖瓦用页岩、制灰用灰岩、岩盐等矿种。</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2.优化开发利用结构。优化布局方向、布局原则，严格落实矿山最低开采规模准入，，适当提高部分矿产资源开发利用准入门槛。</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3.严格规划准入管理。结合国家和市级矿产资源管理政策，以勘查准入、开采规模、开发利用水平、绿色矿山建设及矿区生态修复等为勘查开发利用准入条件。</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color w:val="auto"/>
          <w:sz w:val="32"/>
          <w:szCs w:val="32"/>
        </w:rPr>
        <w:t>（五）绿色矿山建设和矿区生态保护。提出绿色勘查、绿色矿山建设、矿区生态保护修复的要求。</w:t>
      </w:r>
    </w:p>
    <w:p>
      <w:pPr>
        <w:pStyle w:val="3"/>
        <w:widowControl/>
        <w:spacing w:beforeAutospacing="0" w:afterAutospacing="0" w:line="420" w:lineRule="atLeast"/>
        <w:ind w:firstLine="430"/>
        <w:jc w:val="both"/>
        <w:rPr>
          <w:rFonts w:hint="eastAsia" w:ascii="仿宋" w:hAnsi="仿宋" w:eastAsia="仿宋" w:cs="仿宋"/>
          <w:bCs/>
          <w:color w:val="auto"/>
          <w:sz w:val="32"/>
          <w:szCs w:val="32"/>
        </w:rPr>
      </w:pPr>
      <w:r>
        <w:rPr>
          <w:rFonts w:hint="eastAsia" w:ascii="仿宋" w:hAnsi="仿宋" w:eastAsia="仿宋" w:cs="仿宋"/>
          <w:color w:val="auto"/>
          <w:sz w:val="32"/>
          <w:szCs w:val="32"/>
        </w:rPr>
        <w:t>（六）</w:t>
      </w:r>
      <w:r>
        <w:rPr>
          <w:rFonts w:hint="eastAsia" w:ascii="仿宋" w:hAnsi="仿宋" w:eastAsia="仿宋" w:cs="仿宋"/>
          <w:bCs/>
          <w:color w:val="auto"/>
          <w:sz w:val="32"/>
          <w:szCs w:val="32"/>
        </w:rPr>
        <w:t>规划保障措施。为保证规划顺利实施，确定了以下保障措施：</w:t>
      </w:r>
    </w:p>
    <w:p>
      <w:pPr>
        <w:pStyle w:val="3"/>
        <w:widowControl/>
        <w:spacing w:beforeAutospacing="0" w:afterAutospacing="0" w:line="420" w:lineRule="atLeast"/>
        <w:ind w:firstLine="430"/>
        <w:jc w:val="both"/>
        <w:rPr>
          <w:rFonts w:hint="eastAsia" w:ascii="仿宋" w:hAnsi="仿宋" w:eastAsia="仿宋" w:cs="仿宋"/>
          <w:bCs/>
          <w:color w:val="auto"/>
          <w:sz w:val="32"/>
          <w:szCs w:val="32"/>
        </w:rPr>
      </w:pPr>
      <w:r>
        <w:rPr>
          <w:rFonts w:hint="eastAsia" w:ascii="仿宋" w:hAnsi="仿宋" w:eastAsia="仿宋" w:cs="仿宋"/>
          <w:bCs/>
          <w:color w:val="auto"/>
          <w:sz w:val="32"/>
          <w:szCs w:val="32"/>
        </w:rPr>
        <w:t>1.</w:t>
      </w:r>
      <w:r>
        <w:rPr>
          <w:rFonts w:hint="eastAsia" w:ascii="仿宋" w:hAnsi="仿宋" w:eastAsia="仿宋" w:cs="仿宋"/>
          <w:color w:val="auto"/>
          <w:sz w:val="32"/>
          <w:szCs w:val="32"/>
        </w:rPr>
        <w:t xml:space="preserve"> </w:t>
      </w:r>
      <w:r>
        <w:rPr>
          <w:rFonts w:hint="eastAsia" w:ascii="仿宋" w:hAnsi="仿宋" w:eastAsia="仿宋" w:cs="仿宋"/>
          <w:bCs/>
          <w:color w:val="auto"/>
          <w:sz w:val="32"/>
          <w:szCs w:val="32"/>
        </w:rPr>
        <w:t>规划实施目标责任考核</w:t>
      </w:r>
    </w:p>
    <w:p>
      <w:pPr>
        <w:pStyle w:val="3"/>
        <w:widowControl/>
        <w:spacing w:beforeAutospacing="0" w:afterAutospacing="0" w:line="420" w:lineRule="atLeast"/>
        <w:ind w:firstLine="430"/>
        <w:jc w:val="both"/>
        <w:rPr>
          <w:rFonts w:hint="eastAsia" w:ascii="仿宋" w:hAnsi="仿宋" w:eastAsia="仿宋" w:cs="仿宋"/>
          <w:bCs/>
          <w:color w:val="auto"/>
          <w:sz w:val="32"/>
          <w:szCs w:val="32"/>
        </w:rPr>
      </w:pPr>
      <w:r>
        <w:rPr>
          <w:rFonts w:hint="eastAsia" w:ascii="仿宋" w:hAnsi="仿宋" w:eastAsia="仿宋" w:cs="仿宋"/>
          <w:bCs/>
          <w:color w:val="auto"/>
          <w:sz w:val="32"/>
          <w:szCs w:val="32"/>
        </w:rPr>
        <w:t>2.</w:t>
      </w:r>
      <w:r>
        <w:rPr>
          <w:rFonts w:hint="eastAsia" w:ascii="仿宋" w:hAnsi="仿宋" w:eastAsia="仿宋" w:cs="仿宋"/>
          <w:color w:val="auto"/>
          <w:sz w:val="32"/>
          <w:szCs w:val="32"/>
        </w:rPr>
        <w:t xml:space="preserve"> </w:t>
      </w:r>
      <w:r>
        <w:rPr>
          <w:rFonts w:hint="eastAsia" w:ascii="仿宋" w:hAnsi="仿宋" w:eastAsia="仿宋" w:cs="仿宋"/>
          <w:bCs/>
          <w:color w:val="auto"/>
          <w:sz w:val="32"/>
          <w:szCs w:val="32"/>
        </w:rPr>
        <w:t>规划实施年度计划</w:t>
      </w:r>
    </w:p>
    <w:p>
      <w:pPr>
        <w:pStyle w:val="3"/>
        <w:widowControl/>
        <w:spacing w:beforeAutospacing="0" w:afterAutospacing="0" w:line="420" w:lineRule="atLeast"/>
        <w:ind w:firstLine="430"/>
        <w:jc w:val="both"/>
        <w:rPr>
          <w:rFonts w:hint="eastAsia" w:ascii="仿宋" w:hAnsi="仿宋" w:eastAsia="仿宋" w:cs="仿宋"/>
          <w:bCs/>
          <w:color w:val="auto"/>
          <w:sz w:val="32"/>
          <w:szCs w:val="32"/>
        </w:rPr>
      </w:pPr>
      <w:r>
        <w:rPr>
          <w:rFonts w:hint="eastAsia" w:ascii="仿宋" w:hAnsi="仿宋" w:eastAsia="仿宋" w:cs="仿宋"/>
          <w:bCs/>
          <w:color w:val="auto"/>
          <w:sz w:val="32"/>
          <w:szCs w:val="32"/>
        </w:rPr>
        <w:t>3.</w:t>
      </w:r>
      <w:r>
        <w:rPr>
          <w:rFonts w:hint="eastAsia" w:ascii="仿宋" w:hAnsi="仿宋" w:eastAsia="仿宋" w:cs="仿宋"/>
          <w:color w:val="auto"/>
          <w:sz w:val="32"/>
          <w:szCs w:val="32"/>
        </w:rPr>
        <w:t xml:space="preserve"> </w:t>
      </w:r>
      <w:r>
        <w:rPr>
          <w:rFonts w:hint="eastAsia" w:ascii="仿宋" w:hAnsi="仿宋" w:eastAsia="仿宋" w:cs="仿宋"/>
          <w:bCs/>
          <w:color w:val="auto"/>
          <w:sz w:val="32"/>
          <w:szCs w:val="32"/>
        </w:rPr>
        <w:t>规划实施评估调整机制</w:t>
      </w:r>
    </w:p>
    <w:p>
      <w:pPr>
        <w:pStyle w:val="3"/>
        <w:widowControl/>
        <w:spacing w:beforeAutospacing="0" w:afterAutospacing="0" w:line="420" w:lineRule="atLeast"/>
        <w:ind w:firstLine="430"/>
        <w:jc w:val="both"/>
        <w:rPr>
          <w:rFonts w:hint="eastAsia" w:ascii="仿宋" w:hAnsi="仿宋" w:eastAsia="仿宋" w:cs="仿宋"/>
          <w:bCs/>
          <w:color w:val="auto"/>
          <w:sz w:val="32"/>
          <w:szCs w:val="32"/>
        </w:rPr>
      </w:pPr>
      <w:r>
        <w:rPr>
          <w:rFonts w:hint="eastAsia" w:ascii="仿宋" w:hAnsi="仿宋" w:eastAsia="仿宋" w:cs="仿宋"/>
          <w:bCs/>
          <w:color w:val="auto"/>
          <w:sz w:val="32"/>
          <w:szCs w:val="32"/>
        </w:rPr>
        <w:t>4.</w:t>
      </w:r>
      <w:r>
        <w:rPr>
          <w:rFonts w:hint="eastAsia" w:ascii="仿宋" w:hAnsi="仿宋" w:eastAsia="仿宋" w:cs="仿宋"/>
          <w:color w:val="auto"/>
          <w:sz w:val="32"/>
          <w:szCs w:val="32"/>
        </w:rPr>
        <w:t xml:space="preserve"> </w:t>
      </w:r>
      <w:r>
        <w:rPr>
          <w:rFonts w:hint="eastAsia" w:ascii="仿宋" w:hAnsi="仿宋" w:eastAsia="仿宋" w:cs="仿宋"/>
          <w:bCs/>
          <w:color w:val="auto"/>
          <w:sz w:val="32"/>
          <w:szCs w:val="32"/>
        </w:rPr>
        <w:t>规划管理信息化水平</w:t>
      </w:r>
    </w:p>
    <w:p>
      <w:pPr>
        <w:pStyle w:val="3"/>
        <w:widowControl/>
        <w:spacing w:beforeAutospacing="0" w:afterAutospacing="0" w:line="420" w:lineRule="atLeast"/>
        <w:ind w:firstLine="430"/>
        <w:jc w:val="both"/>
        <w:rPr>
          <w:rFonts w:hint="eastAsia" w:ascii="仿宋" w:hAnsi="仿宋" w:eastAsia="仿宋" w:cs="仿宋"/>
          <w:color w:val="auto"/>
          <w:sz w:val="32"/>
          <w:szCs w:val="32"/>
        </w:rPr>
      </w:pPr>
      <w:r>
        <w:rPr>
          <w:rFonts w:hint="eastAsia" w:ascii="仿宋" w:hAnsi="仿宋" w:eastAsia="仿宋" w:cs="仿宋"/>
          <w:bCs/>
          <w:color w:val="auto"/>
          <w:sz w:val="32"/>
          <w:szCs w:val="32"/>
        </w:rPr>
        <w:t>5.</w:t>
      </w:r>
      <w:r>
        <w:rPr>
          <w:rFonts w:hint="eastAsia" w:ascii="仿宋" w:hAnsi="仿宋" w:eastAsia="仿宋" w:cs="仿宋"/>
          <w:color w:val="auto"/>
          <w:sz w:val="32"/>
          <w:szCs w:val="32"/>
        </w:rPr>
        <w:t xml:space="preserve"> </w:t>
      </w:r>
      <w:r>
        <w:rPr>
          <w:rFonts w:hint="eastAsia" w:ascii="仿宋" w:hAnsi="仿宋" w:eastAsia="仿宋" w:cs="仿宋"/>
          <w:bCs/>
          <w:color w:val="auto"/>
          <w:sz w:val="32"/>
          <w:szCs w:val="32"/>
        </w:rPr>
        <w:t>加强规划实施情况监督检查</w:t>
      </w:r>
    </w:p>
    <w:p>
      <w:pPr>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73"/>
    <w:rsid w:val="00023C07"/>
    <w:rsid w:val="000F320E"/>
    <w:rsid w:val="003E15F1"/>
    <w:rsid w:val="00594B50"/>
    <w:rsid w:val="008611BF"/>
    <w:rsid w:val="008A176C"/>
    <w:rsid w:val="008C172B"/>
    <w:rsid w:val="008F767C"/>
    <w:rsid w:val="00987027"/>
    <w:rsid w:val="009A06F4"/>
    <w:rsid w:val="00AF3887"/>
    <w:rsid w:val="00B8251C"/>
    <w:rsid w:val="00C86B73"/>
    <w:rsid w:val="00F879E4"/>
    <w:rsid w:val="10533D06"/>
    <w:rsid w:val="278723E1"/>
    <w:rsid w:val="2A6222D3"/>
    <w:rsid w:val="459F2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itle"/>
    <w:basedOn w:val="1"/>
    <w:next w:val="1"/>
    <w:unhideWhenUsed/>
    <w:qFormat/>
    <w:uiPriority w:val="10"/>
    <w:pPr>
      <w:spacing w:before="240" w:after="60"/>
      <w:jc w:val="center"/>
      <w:outlineLvl w:val="0"/>
    </w:pPr>
    <w:rPr>
      <w:rFonts w:ascii="Cambria" w:hAnsi="Cambria"/>
      <w:b/>
      <w:sz w:val="32"/>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3</Pages>
  <Words>367</Words>
  <Characters>2092</Characters>
  <Lines>17</Lines>
  <Paragraphs>4</Paragraphs>
  <TotalTime>140</TotalTime>
  <ScaleCrop>false</ScaleCrop>
  <LinksUpToDate>false</LinksUpToDate>
  <CharactersWithSpaces>2455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2023-06-01T03:28:00Z</dcterms:created>
  <dc:creator>Administrator</dc:creator>
  <cp:lastModifiedBy>admin</cp:lastModifiedBy>
  <dcterms:modified xsi:type="dcterms:W3CDTF">2023-06-02T01:53:15Z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